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ACEA" w14:textId="07544D61" w:rsidR="00FD6845" w:rsidRDefault="00FC3BEB" w:rsidP="009B6F55">
      <w:pPr>
        <w:jc w:val="center"/>
        <w:rPr>
          <w:b/>
          <w:bCs/>
          <w:sz w:val="28"/>
          <w:szCs w:val="28"/>
        </w:rPr>
      </w:pPr>
      <w:r w:rsidRPr="00FC3BEB">
        <w:rPr>
          <w:b/>
          <w:bCs/>
          <w:sz w:val="28"/>
          <w:szCs w:val="28"/>
        </w:rPr>
        <w:t>Toll Charge</w:t>
      </w:r>
      <w:r w:rsidR="009D3C59">
        <w:rPr>
          <w:b/>
          <w:bCs/>
          <w:sz w:val="28"/>
          <w:szCs w:val="28"/>
        </w:rPr>
        <w:t xml:space="preserve"> Notice</w:t>
      </w:r>
      <w:r w:rsidRPr="00FC3BEB">
        <w:rPr>
          <w:b/>
          <w:bCs/>
          <w:sz w:val="28"/>
          <w:szCs w:val="28"/>
        </w:rPr>
        <w:t xml:space="preserve"> Update</w:t>
      </w:r>
    </w:p>
    <w:p w14:paraId="02F1099B" w14:textId="2E9F23B3" w:rsidR="00FC3BEB" w:rsidRDefault="00FC3BEB" w:rsidP="00FC3BEB">
      <w:pPr>
        <w:jc w:val="center"/>
        <w:rPr>
          <w:b/>
          <w:bCs/>
          <w:sz w:val="28"/>
          <w:szCs w:val="28"/>
        </w:rPr>
      </w:pPr>
      <w:r w:rsidRPr="00FC3BEB">
        <w:rPr>
          <w:b/>
          <w:bCs/>
          <w:sz w:val="28"/>
          <w:szCs w:val="28"/>
        </w:rPr>
        <w:t xml:space="preserve"> Effective 1</w:t>
      </w:r>
      <w:r w:rsidRPr="00FC3BEB">
        <w:rPr>
          <w:b/>
          <w:bCs/>
          <w:sz w:val="28"/>
          <w:szCs w:val="28"/>
          <w:vertAlign w:val="superscript"/>
        </w:rPr>
        <w:t>st</w:t>
      </w:r>
      <w:r w:rsidRPr="00FC3BEB">
        <w:rPr>
          <w:b/>
          <w:bCs/>
          <w:sz w:val="28"/>
          <w:szCs w:val="28"/>
        </w:rPr>
        <w:t xml:space="preserve"> July 2023</w:t>
      </w:r>
    </w:p>
    <w:p w14:paraId="2A29455F" w14:textId="0C5721F6" w:rsidR="009C0CDB" w:rsidRDefault="009C0CDB" w:rsidP="009C0CDB">
      <w:pPr>
        <w:rPr>
          <w:b/>
          <w:bCs/>
          <w:sz w:val="28"/>
          <w:szCs w:val="28"/>
        </w:rPr>
      </w:pPr>
    </w:p>
    <w:p w14:paraId="5CFE2E01" w14:textId="4052E9BF" w:rsidR="00E6476A" w:rsidRDefault="009C0CDB" w:rsidP="009C0CDB">
      <w:pPr>
        <w:rPr>
          <w:color w:val="212121"/>
        </w:rPr>
      </w:pPr>
      <w:r w:rsidRPr="009C0CDB">
        <w:t>The</w:t>
      </w:r>
      <w:r w:rsidR="00B34910">
        <w:t xml:space="preserve"> Governments</w:t>
      </w:r>
      <w:r w:rsidRPr="009C0CDB">
        <w:t xml:space="preserve"> </w:t>
      </w:r>
      <w:r>
        <w:t>six-month</w:t>
      </w:r>
      <w:r w:rsidRPr="009C0CDB">
        <w:t xml:space="preserve"> deferment </w:t>
      </w:r>
      <w:r>
        <w:t>of toll increase</w:t>
      </w:r>
      <w:r w:rsidR="00B34910">
        <w:t>s</w:t>
      </w:r>
      <w:r>
        <w:t xml:space="preserve"> will</w:t>
      </w:r>
      <w:r w:rsidRPr="009C0CDB">
        <w:t xml:space="preserve"> conclude on June 30</w:t>
      </w:r>
      <w:r w:rsidRPr="009C0CDB">
        <w:rPr>
          <w:vertAlign w:val="superscript"/>
        </w:rPr>
        <w:t>th</w:t>
      </w:r>
      <w:r>
        <w:rPr>
          <w:vertAlign w:val="superscript"/>
        </w:rPr>
        <w:t xml:space="preserve"> </w:t>
      </w:r>
      <w:r w:rsidRPr="009C0CDB">
        <w:t>and standard regulated toll in line with the inflationary increase will take effect on July 1</w:t>
      </w:r>
      <w:r w:rsidRPr="009C0CDB">
        <w:rPr>
          <w:vertAlign w:val="superscript"/>
        </w:rPr>
        <w:t>st</w:t>
      </w:r>
      <w:r w:rsidRPr="009C0CDB">
        <w:t>.</w:t>
      </w:r>
      <w:r>
        <w:t xml:space="preserve">  </w:t>
      </w:r>
      <w:r w:rsidR="00FC3BEB" w:rsidRPr="009C0CDB">
        <w:rPr>
          <w:color w:val="000000"/>
        </w:rPr>
        <w:t xml:space="preserve">All tolls on the national road network are regulated through </w:t>
      </w:r>
      <w:r w:rsidR="00FC3BEB" w:rsidRPr="009C0CDB">
        <w:rPr>
          <w:color w:val="212121"/>
        </w:rPr>
        <w:t>inflation (CP</w:t>
      </w:r>
      <w:r w:rsidR="00FC3BEB" w:rsidRPr="009C0CDB">
        <w:rPr>
          <w:color w:val="000000"/>
        </w:rPr>
        <w:t>I) and</w:t>
      </w:r>
      <w:r w:rsidR="00FC3BEB" w:rsidRPr="009C0CDB">
        <w:rPr>
          <w:color w:val="212121"/>
        </w:rPr>
        <w:t xml:space="preserve"> cannot go above inflation. </w:t>
      </w:r>
    </w:p>
    <w:p w14:paraId="45C9C054" w14:textId="77777777" w:rsidR="009C0CDB" w:rsidRPr="009C0CDB" w:rsidRDefault="009C0CDB" w:rsidP="009C0CDB"/>
    <w:p w14:paraId="5CFC1C0A" w14:textId="2695B30C" w:rsidR="00E6476A" w:rsidRPr="009C0CDB" w:rsidRDefault="00E6476A" w:rsidP="003E64CA">
      <w:pPr>
        <w:jc w:val="center"/>
        <w:rPr>
          <w:b/>
          <w:bCs/>
          <w:lang w:eastAsia="en-IE"/>
        </w:rPr>
      </w:pPr>
      <w:r w:rsidRPr="009C0CDB">
        <w:rPr>
          <w:b/>
          <w:bCs/>
        </w:rPr>
        <w:t>Summary Info on Toll Increase</w:t>
      </w:r>
      <w:r w:rsidR="003E64CA" w:rsidRPr="009C0CDB">
        <w:rPr>
          <w:b/>
          <w:bCs/>
        </w:rPr>
        <w:t>s</w:t>
      </w:r>
    </w:p>
    <w:p w14:paraId="1AD25A79" w14:textId="03802EAE" w:rsidR="00E6476A" w:rsidRDefault="00E6476A" w:rsidP="000E7244">
      <w:pPr>
        <w:pStyle w:val="ListParagraph"/>
        <w:numPr>
          <w:ilvl w:val="0"/>
          <w:numId w:val="2"/>
        </w:numPr>
        <w:rPr>
          <w:rFonts w:eastAsia="Times New Roman"/>
        </w:rPr>
      </w:pPr>
      <w:r w:rsidRPr="009C0CDB">
        <w:rPr>
          <w:rFonts w:eastAsia="Times New Roman"/>
        </w:rPr>
        <w:t xml:space="preserve">There are ten toll roads on the national road network - </w:t>
      </w:r>
      <w:r w:rsidR="00D0015E">
        <w:rPr>
          <w:rFonts w:eastAsia="Times New Roman"/>
        </w:rPr>
        <w:t>e</w:t>
      </w:r>
      <w:r w:rsidRPr="009C0CDB">
        <w:rPr>
          <w:rFonts w:eastAsia="Times New Roman"/>
        </w:rPr>
        <w:t>ight are operated under a “Public Private Partnership” (PPP) model and two are operated directly on behalf of Transport Infrastructure Ireland (TII), which are the M50 and Dublin Port Tunnel. The charts below show the increase per vehicle category and route.</w:t>
      </w:r>
    </w:p>
    <w:p w14:paraId="658C35A3" w14:textId="77777777" w:rsidR="00B34910" w:rsidRDefault="00B34910" w:rsidP="00B34910">
      <w:pPr>
        <w:pStyle w:val="ListParagraph"/>
        <w:rPr>
          <w:rFonts w:eastAsia="Times New Roman"/>
        </w:rPr>
      </w:pPr>
    </w:p>
    <w:p w14:paraId="0CD98F1E" w14:textId="77777777" w:rsidR="00B34910" w:rsidRPr="009C0CDB" w:rsidRDefault="00B34910" w:rsidP="00B34910">
      <w:pPr>
        <w:pStyle w:val="ListParagraph"/>
        <w:numPr>
          <w:ilvl w:val="0"/>
          <w:numId w:val="2"/>
        </w:numPr>
        <w:rPr>
          <w:rFonts w:eastAsia="Times New Roman"/>
        </w:rPr>
      </w:pPr>
      <w:r w:rsidRPr="009C0CDB">
        <w:rPr>
          <w:rFonts w:eastAsia="Times New Roman"/>
        </w:rPr>
        <w:t>Toll revenue is used for purposes including motorway maintenance, toll collection and operations, and for the maintenance of the wider national road network.</w:t>
      </w:r>
    </w:p>
    <w:p w14:paraId="6D29FAC6" w14:textId="77777777" w:rsidR="000E7244" w:rsidRPr="00B34910" w:rsidRDefault="000E7244" w:rsidP="00B34910">
      <w:pPr>
        <w:rPr>
          <w:rFonts w:eastAsia="Times New Roman"/>
        </w:rPr>
      </w:pPr>
    </w:p>
    <w:p w14:paraId="12E5863D" w14:textId="77777777" w:rsidR="00E6476A" w:rsidRPr="009C0CDB" w:rsidRDefault="00E6476A" w:rsidP="00E6476A">
      <w:pPr>
        <w:pStyle w:val="ListParagraph"/>
        <w:numPr>
          <w:ilvl w:val="0"/>
          <w:numId w:val="2"/>
        </w:numPr>
        <w:rPr>
          <w:rFonts w:eastAsia="Times New Roman"/>
        </w:rPr>
      </w:pPr>
      <w:r w:rsidRPr="009C0CDB">
        <w:rPr>
          <w:rFonts w:eastAsia="Times New Roman"/>
        </w:rPr>
        <w:t>Toll increases for 2023 are driven by the current rate of inflation. The CPI increased by 8.6% between August 2021 and August 2022.</w:t>
      </w:r>
    </w:p>
    <w:p w14:paraId="0A5B8112" w14:textId="77777777" w:rsidR="00E6476A" w:rsidRPr="009C0CDB" w:rsidRDefault="00E6476A" w:rsidP="00E6476A">
      <w:pPr>
        <w:pStyle w:val="ListParagraph"/>
      </w:pPr>
    </w:p>
    <w:p w14:paraId="737337C6" w14:textId="77777777" w:rsidR="00E6476A" w:rsidRPr="009C0CDB" w:rsidRDefault="00E6476A" w:rsidP="00E6476A">
      <w:pPr>
        <w:pStyle w:val="ListParagraph"/>
        <w:numPr>
          <w:ilvl w:val="0"/>
          <w:numId w:val="2"/>
        </w:numPr>
        <w:shd w:val="clear" w:color="auto" w:fill="FFFFFF"/>
        <w:rPr>
          <w:rFonts w:eastAsia="Times New Roman"/>
        </w:rPr>
      </w:pPr>
      <w:r w:rsidRPr="009C0CDB">
        <w:rPr>
          <w:rFonts w:eastAsia="Times New Roman"/>
          <w:b/>
          <w:bCs/>
          <w:color w:val="000000"/>
        </w:rPr>
        <w:t>M50:</w:t>
      </w:r>
      <w:r w:rsidRPr="009C0CDB">
        <w:rPr>
          <w:rFonts w:eastAsia="Times New Roman"/>
          <w:color w:val="000000"/>
        </w:rPr>
        <w:t xml:space="preserve">  </w:t>
      </w:r>
      <w:r w:rsidRPr="009C0CDB">
        <w:rPr>
          <w:rFonts w:eastAsia="Times New Roman"/>
          <w:color w:val="212121"/>
        </w:rPr>
        <w:t>The M50 is a user pay funded motorway</w:t>
      </w:r>
      <w:r w:rsidRPr="009C0CDB">
        <w:rPr>
          <w:rFonts w:eastAsia="Times New Roman"/>
          <w:color w:val="000000"/>
        </w:rPr>
        <w:t>,</w:t>
      </w:r>
      <w:r w:rsidRPr="009C0CDB">
        <w:rPr>
          <w:rFonts w:eastAsia="Times New Roman"/>
          <w:color w:val="212121"/>
        </w:rPr>
        <w:t xml:space="preserve"> through a barrier</w:t>
      </w:r>
      <w:r w:rsidRPr="009C0CDB">
        <w:rPr>
          <w:rFonts w:eastAsia="Times New Roman"/>
          <w:color w:val="000000"/>
        </w:rPr>
        <w:t>-</w:t>
      </w:r>
      <w:r w:rsidRPr="009C0CDB">
        <w:rPr>
          <w:rFonts w:eastAsia="Times New Roman"/>
          <w:color w:val="212121"/>
        </w:rPr>
        <w:t>free tolling system. TII is required under legislation to maintain a safe and efficient network</w:t>
      </w:r>
      <w:r w:rsidRPr="009C0CDB">
        <w:rPr>
          <w:rFonts w:eastAsia="Times New Roman"/>
          <w:color w:val="000000"/>
        </w:rPr>
        <w:t xml:space="preserve"> of national roads</w:t>
      </w:r>
      <w:r w:rsidRPr="009C0CDB">
        <w:rPr>
          <w:rFonts w:eastAsia="Times New Roman"/>
          <w:color w:val="212121"/>
        </w:rPr>
        <w:t xml:space="preserve"> and the</w:t>
      </w:r>
      <w:r w:rsidRPr="009C0CDB">
        <w:rPr>
          <w:rFonts w:eastAsia="Times New Roman"/>
          <w:color w:val="000000"/>
        </w:rPr>
        <w:t xml:space="preserve"> M50</w:t>
      </w:r>
      <w:r w:rsidRPr="009C0CDB">
        <w:rPr>
          <w:rFonts w:eastAsia="Times New Roman"/>
          <w:color w:val="212121"/>
        </w:rPr>
        <w:t xml:space="preserve"> toll</w:t>
      </w:r>
      <w:r w:rsidRPr="009C0CDB">
        <w:rPr>
          <w:rFonts w:eastAsia="Times New Roman"/>
          <w:color w:val="000000"/>
        </w:rPr>
        <w:t xml:space="preserve"> funds the maintenance and operation of the M50.</w:t>
      </w:r>
      <w:r w:rsidRPr="009C0CDB">
        <w:rPr>
          <w:rFonts w:eastAsia="Times New Roman"/>
          <w:color w:val="212121"/>
        </w:rPr>
        <w:t xml:space="preserve"> </w:t>
      </w:r>
      <w:r w:rsidRPr="009C0CDB">
        <w:rPr>
          <w:rFonts w:eastAsia="Times New Roman"/>
          <w:color w:val="000000"/>
          <w:lang w:eastAsia="en-IE"/>
        </w:rPr>
        <w:t> </w:t>
      </w:r>
      <w:r w:rsidRPr="009C0CDB">
        <w:rPr>
          <w:rFonts w:eastAsia="Times New Roman"/>
          <w:color w:val="212121"/>
        </w:rPr>
        <w:t xml:space="preserve">A deferment of </w:t>
      </w:r>
      <w:r w:rsidRPr="009C0CDB">
        <w:rPr>
          <w:rFonts w:eastAsia="Times New Roman"/>
          <w:color w:val="000000"/>
        </w:rPr>
        <w:t>the toll</w:t>
      </w:r>
      <w:r w:rsidRPr="009C0CDB">
        <w:rPr>
          <w:rFonts w:eastAsia="Times New Roman"/>
          <w:color w:val="212121"/>
        </w:rPr>
        <w:t xml:space="preserve"> increase on the M50 would have required funding to be reallocated from other national road </w:t>
      </w:r>
      <w:r w:rsidRPr="009C0CDB">
        <w:rPr>
          <w:rFonts w:eastAsia="Times New Roman"/>
          <w:color w:val="000000"/>
        </w:rPr>
        <w:t xml:space="preserve">projects </w:t>
      </w:r>
      <w:r w:rsidRPr="009C0CDB">
        <w:rPr>
          <w:rFonts w:eastAsia="Times New Roman"/>
          <w:color w:val="212121"/>
        </w:rPr>
        <w:t>and reduce funding for asset management and renewal activities.</w:t>
      </w:r>
    </w:p>
    <w:p w14:paraId="262F9587" w14:textId="77777777" w:rsidR="00E6476A" w:rsidRPr="009C0CDB" w:rsidRDefault="00E6476A" w:rsidP="00E6476A">
      <w:pPr>
        <w:shd w:val="clear" w:color="auto" w:fill="FFFFFF"/>
      </w:pPr>
    </w:p>
    <w:p w14:paraId="0A88136B" w14:textId="77777777" w:rsidR="00E6476A" w:rsidRPr="009C0CDB" w:rsidRDefault="00E6476A" w:rsidP="00E6476A">
      <w:pPr>
        <w:pStyle w:val="ListParagraph"/>
        <w:numPr>
          <w:ilvl w:val="0"/>
          <w:numId w:val="2"/>
        </w:numPr>
        <w:rPr>
          <w:rFonts w:eastAsia="Times New Roman"/>
        </w:rPr>
      </w:pPr>
      <w:r w:rsidRPr="009C0CDB">
        <w:rPr>
          <w:rFonts w:eastAsia="Times New Roman"/>
          <w:b/>
          <w:bCs/>
        </w:rPr>
        <w:t>Dublin Port Tunnel:</w:t>
      </w:r>
      <w:r w:rsidRPr="009C0CDB">
        <w:rPr>
          <w:rFonts w:eastAsia="Times New Roman"/>
        </w:rPr>
        <w:t xml:space="preserve">  No increase in tolls for Dublin Port Tunnel in 2023. </w:t>
      </w:r>
    </w:p>
    <w:p w14:paraId="215DAC44" w14:textId="77777777" w:rsidR="00E6476A" w:rsidRPr="009C0CDB" w:rsidRDefault="00E6476A" w:rsidP="00E6476A">
      <w:pPr>
        <w:pStyle w:val="ListParagraph"/>
      </w:pPr>
    </w:p>
    <w:p w14:paraId="21A66F9E" w14:textId="5518ECB5" w:rsidR="00E6476A" w:rsidRPr="009C0CDB" w:rsidRDefault="00E6476A" w:rsidP="00E6476A">
      <w:pPr>
        <w:pStyle w:val="ListParagraph"/>
        <w:numPr>
          <w:ilvl w:val="0"/>
          <w:numId w:val="2"/>
        </w:numPr>
        <w:rPr>
          <w:rFonts w:eastAsia="Times New Roman"/>
        </w:rPr>
      </w:pPr>
      <w:r w:rsidRPr="009C0CDB">
        <w:rPr>
          <w:rFonts w:eastAsia="Times New Roman"/>
          <w:b/>
          <w:bCs/>
        </w:rPr>
        <w:t>Eastlink</w:t>
      </w:r>
      <w:r w:rsidRPr="009C0CDB">
        <w:rPr>
          <w:rFonts w:eastAsia="Times New Roman"/>
        </w:rPr>
        <w:t xml:space="preserve"> is run by </w:t>
      </w:r>
      <w:r w:rsidR="00015D05" w:rsidRPr="009C0CDB">
        <w:rPr>
          <w:rFonts w:eastAsia="Times New Roman"/>
        </w:rPr>
        <w:t>Dublin City Council</w:t>
      </w:r>
      <w:r w:rsidRPr="009C0CDB">
        <w:rPr>
          <w:rFonts w:eastAsia="Times New Roman"/>
        </w:rPr>
        <w:t xml:space="preserve">. </w:t>
      </w:r>
    </w:p>
    <w:p w14:paraId="49013F59" w14:textId="77777777" w:rsidR="00A77D0C" w:rsidRPr="00B34910" w:rsidRDefault="00A77D0C" w:rsidP="00B34910">
      <w:pPr>
        <w:rPr>
          <w:rFonts w:eastAsia="Times New Roman"/>
        </w:rPr>
      </w:pPr>
    </w:p>
    <w:p w14:paraId="0166C027" w14:textId="220D3022" w:rsidR="009B6F55" w:rsidRPr="00B34910" w:rsidRDefault="00A77D0C" w:rsidP="009B6F55">
      <w:pPr>
        <w:pStyle w:val="ListParagraph"/>
        <w:numPr>
          <w:ilvl w:val="0"/>
          <w:numId w:val="2"/>
        </w:numPr>
      </w:pPr>
      <w:r w:rsidRPr="00B34910">
        <w:rPr>
          <w:b/>
          <w:bCs/>
        </w:rPr>
        <w:t>Maximum Tolls</w:t>
      </w:r>
      <w:r w:rsidR="009A1304" w:rsidRPr="00B34910">
        <w:rPr>
          <w:b/>
          <w:bCs/>
        </w:rPr>
        <w:t xml:space="preserve"> is Defined By:</w:t>
      </w:r>
      <w:r w:rsidRPr="00B34910">
        <w:rPr>
          <w:b/>
          <w:bCs/>
        </w:rPr>
        <w:t xml:space="preserve"> </w:t>
      </w:r>
      <w:r w:rsidR="009A1304" w:rsidRPr="00B34910">
        <w:rPr>
          <w:b/>
          <w:bCs/>
        </w:rPr>
        <w:t>(</w:t>
      </w:r>
      <w:r w:rsidRPr="00B34910">
        <w:rPr>
          <w:b/>
          <w:bCs/>
        </w:rPr>
        <w:t>Not to go above inflation)</w:t>
      </w:r>
      <w:r w:rsidRPr="00B34910">
        <w:t xml:space="preserve"> for each class of Vehicles for each Toll Year shall be the Base Tolls for such class of Vehicles multiplied by the Consumer Price Index for August in the previous year, using a November 1996 base year of one hundred (100), divided by the Opening Index, and the resulting amount shall be rounded upwards or downwards, as the case may be, to the nearest fifty cent (50c) or such other amount (equal to or less than one euro (€1).</w:t>
      </w:r>
      <w:bookmarkStart w:id="0" w:name="_Toc116571928"/>
    </w:p>
    <w:p w14:paraId="4891BB74" w14:textId="5A18B864" w:rsidR="00E6476A" w:rsidRPr="00B34910" w:rsidRDefault="00E6476A" w:rsidP="00E6476A">
      <w:pPr>
        <w:pStyle w:val="Heading2"/>
        <w:keepNext/>
        <w:numPr>
          <w:ilvl w:val="0"/>
          <w:numId w:val="0"/>
        </w:numPr>
        <w:spacing w:after="160"/>
        <w:ind w:left="576" w:hanging="576"/>
        <w:rPr>
          <w:rFonts w:eastAsia="Times New Roman"/>
          <w:b/>
          <w:bCs/>
          <w:color w:val="000000" w:themeColor="text1"/>
        </w:rPr>
      </w:pPr>
      <w:r w:rsidRPr="00B34910">
        <w:rPr>
          <w:rFonts w:eastAsia="Times New Roman"/>
          <w:b/>
          <w:bCs/>
          <w:color w:val="000000" w:themeColor="text1"/>
        </w:rPr>
        <w:t>Toll Calculation</w:t>
      </w:r>
      <w:bookmarkEnd w:id="0"/>
      <w:r w:rsidRPr="00B34910">
        <w:rPr>
          <w:rFonts w:eastAsia="Times New Roman"/>
          <w:b/>
          <w:bCs/>
          <w:color w:val="000000" w:themeColor="text1"/>
        </w:rPr>
        <w:t xml:space="preserve"> M50</w:t>
      </w:r>
    </w:p>
    <w:p w14:paraId="19D11EEB" w14:textId="77777777" w:rsidR="00E6476A" w:rsidRPr="009C0CDB" w:rsidRDefault="00E6476A" w:rsidP="00E6476A">
      <w:pPr>
        <w:pStyle w:val="QANormal"/>
        <w:spacing w:after="160" w:line="252" w:lineRule="auto"/>
      </w:pPr>
      <w:r w:rsidRPr="009C0CDB">
        <w:t>The CPI increased by 8.6% between August 2021 and August 2022.  </w:t>
      </w:r>
      <w:r w:rsidRPr="009C0CDB">
        <w:rPr>
          <w:color w:val="FF0000"/>
        </w:rPr>
        <w:t xml:space="preserve"> </w:t>
      </w:r>
      <w:r w:rsidRPr="009C0CDB">
        <w:t xml:space="preserve">The increase in CPI has resulted in increased Maximum Tolls for the M50. Please note that VAT is not applicable to the M50 Tolls. The 2022 Applicable Tolls were set at the same level as the calculated 2022 Maximum Tolls. Where changes occur between the 2022 Maximum Tolls/Applicable Tolls and the 2023 Maximum / Applicable Tolls, these are highlighted in green. (As can be seen from the annual change in M50 Applicable Tolls between 2013 and 2022, there have been minimal increases in tolls in the last decade apart from 2022.) </w:t>
      </w:r>
    </w:p>
    <w:p w14:paraId="069BE5AE" w14:textId="7F92BBBC" w:rsidR="00E6476A" w:rsidRPr="009C0CDB" w:rsidRDefault="00E6476A" w:rsidP="00E6476A">
      <w:pPr>
        <w:pStyle w:val="QANormal"/>
        <w:spacing w:after="160" w:line="252" w:lineRule="auto"/>
        <w:rPr>
          <w:rFonts w:eastAsia="Times New Roman"/>
          <w:b/>
          <w:bCs/>
          <w:strike/>
          <w:color w:val="002060"/>
        </w:rPr>
      </w:pPr>
      <w:r w:rsidRPr="003B30B7">
        <w:rPr>
          <w:b/>
          <w:bCs/>
        </w:rPr>
        <w:t>Note:</w:t>
      </w:r>
      <w:r w:rsidRPr="00B34910">
        <w:rPr>
          <w:color w:val="000000" w:themeColor="text1"/>
        </w:rPr>
        <w:t xml:space="preserve"> </w:t>
      </w:r>
      <w:r w:rsidRPr="00B34910">
        <w:rPr>
          <w:b/>
          <w:bCs/>
          <w:color w:val="000000" w:themeColor="text1"/>
        </w:rPr>
        <w:t xml:space="preserve">There has been no increase on motor car tolls for OBU (On Board Unit) registered vehicles, i.e., with tags (up to eight passenger and driver) for 10 years to 1 </w:t>
      </w:r>
      <w:r w:rsidR="000E7244" w:rsidRPr="00B34910">
        <w:rPr>
          <w:b/>
          <w:bCs/>
          <w:color w:val="000000" w:themeColor="text1"/>
        </w:rPr>
        <w:t>July</w:t>
      </w:r>
      <w:r w:rsidRPr="00B34910">
        <w:rPr>
          <w:b/>
          <w:bCs/>
          <w:color w:val="000000" w:themeColor="text1"/>
        </w:rPr>
        <w:t xml:space="preserve"> 2023</w:t>
      </w:r>
    </w:p>
    <w:p w14:paraId="25C7028E" w14:textId="77777777" w:rsidR="00E6476A" w:rsidRPr="009C0CDB" w:rsidRDefault="00E6476A" w:rsidP="00E6476A">
      <w:pPr>
        <w:keepNext/>
        <w:jc w:val="both"/>
        <w:rPr>
          <w:i/>
          <w:iCs/>
          <w:color w:val="002060"/>
        </w:rPr>
      </w:pPr>
      <w:r w:rsidRPr="009C0CDB">
        <w:rPr>
          <w:i/>
          <w:iCs/>
          <w:color w:val="002060"/>
        </w:rPr>
        <w:t>M50 Maximum Tolls/Applicable Tolls 2023</w:t>
      </w:r>
    </w:p>
    <w:tbl>
      <w:tblPr>
        <w:tblW w:w="9780" w:type="dxa"/>
        <w:tblCellMar>
          <w:left w:w="0" w:type="dxa"/>
          <w:right w:w="0" w:type="dxa"/>
        </w:tblCellMar>
        <w:tblLook w:val="04A0" w:firstRow="1" w:lastRow="0" w:firstColumn="1" w:lastColumn="0" w:noHBand="0" w:noVBand="1"/>
      </w:tblPr>
      <w:tblGrid>
        <w:gridCol w:w="3022"/>
        <w:gridCol w:w="1127"/>
        <w:gridCol w:w="1127"/>
        <w:gridCol w:w="1126"/>
        <w:gridCol w:w="1126"/>
        <w:gridCol w:w="1126"/>
        <w:gridCol w:w="1126"/>
      </w:tblGrid>
      <w:tr w:rsidR="00E6476A" w:rsidRPr="009C0CDB" w14:paraId="148651E5" w14:textId="77777777" w:rsidTr="00E6476A">
        <w:trPr>
          <w:trHeight w:val="375"/>
          <w:tblHeader/>
        </w:trPr>
        <w:tc>
          <w:tcPr>
            <w:tcW w:w="3020" w:type="dxa"/>
            <w:vMerge w:val="restart"/>
            <w:tcBorders>
              <w:top w:val="single" w:sz="8" w:space="0" w:color="0070C0"/>
              <w:left w:val="single" w:sz="8" w:space="0" w:color="0070C0"/>
              <w:bottom w:val="nil"/>
              <w:right w:val="nil"/>
            </w:tcBorders>
            <w:shd w:val="clear" w:color="auto" w:fill="0070C0"/>
            <w:noWrap/>
            <w:tcMar>
              <w:top w:w="0" w:type="dxa"/>
              <w:left w:w="108" w:type="dxa"/>
              <w:bottom w:w="0" w:type="dxa"/>
              <w:right w:w="108" w:type="dxa"/>
            </w:tcMar>
            <w:vAlign w:val="center"/>
            <w:hideMark/>
          </w:tcPr>
          <w:p w14:paraId="5EB9B9DB" w14:textId="77777777" w:rsidR="00E6476A" w:rsidRPr="009C0CDB" w:rsidRDefault="00E6476A">
            <w:pPr>
              <w:rPr>
                <w:b/>
                <w:bCs/>
              </w:rPr>
            </w:pPr>
            <w:r w:rsidRPr="009C0CDB">
              <w:rPr>
                <w:b/>
                <w:bCs/>
                <w:color w:val="FFFFFF"/>
              </w:rPr>
              <w:t xml:space="preserve">Vehicle Category </w:t>
            </w:r>
          </w:p>
        </w:tc>
        <w:tc>
          <w:tcPr>
            <w:tcW w:w="3378" w:type="dxa"/>
            <w:gridSpan w:val="3"/>
            <w:tcBorders>
              <w:top w:val="single" w:sz="8" w:space="0" w:color="0070C0"/>
              <w:left w:val="nil"/>
              <w:bottom w:val="nil"/>
              <w:right w:val="nil"/>
            </w:tcBorders>
            <w:shd w:val="clear" w:color="auto" w:fill="0070C0"/>
            <w:tcMar>
              <w:top w:w="0" w:type="dxa"/>
              <w:left w:w="108" w:type="dxa"/>
              <w:bottom w:w="0" w:type="dxa"/>
              <w:right w:w="108" w:type="dxa"/>
            </w:tcMar>
            <w:vAlign w:val="center"/>
            <w:hideMark/>
          </w:tcPr>
          <w:p w14:paraId="161BF036" w14:textId="77777777" w:rsidR="00E6476A" w:rsidRPr="009C0CDB" w:rsidRDefault="00E6476A">
            <w:pPr>
              <w:jc w:val="center"/>
              <w:rPr>
                <w:b/>
                <w:bCs/>
              </w:rPr>
            </w:pPr>
            <w:r w:rsidRPr="009C0CDB">
              <w:rPr>
                <w:b/>
                <w:bCs/>
                <w:color w:val="FFFFFF"/>
              </w:rPr>
              <w:t xml:space="preserve">Maximum Tolls/ Applicable Tolls </w:t>
            </w:r>
          </w:p>
        </w:tc>
        <w:tc>
          <w:tcPr>
            <w:tcW w:w="3378" w:type="dxa"/>
            <w:gridSpan w:val="3"/>
            <w:tcBorders>
              <w:top w:val="single" w:sz="8" w:space="0" w:color="0070C0"/>
              <w:left w:val="nil"/>
              <w:bottom w:val="nil"/>
              <w:right w:val="single" w:sz="8" w:space="0" w:color="0070C0"/>
            </w:tcBorders>
            <w:shd w:val="clear" w:color="auto" w:fill="0070C0"/>
            <w:tcMar>
              <w:top w:w="0" w:type="dxa"/>
              <w:left w:w="108" w:type="dxa"/>
              <w:bottom w:w="0" w:type="dxa"/>
              <w:right w:w="108" w:type="dxa"/>
            </w:tcMar>
            <w:vAlign w:val="center"/>
            <w:hideMark/>
          </w:tcPr>
          <w:p w14:paraId="48DAFF70" w14:textId="77777777" w:rsidR="00E6476A" w:rsidRPr="009C0CDB" w:rsidRDefault="00E6476A">
            <w:pPr>
              <w:jc w:val="center"/>
              <w:rPr>
                <w:b/>
                <w:bCs/>
              </w:rPr>
            </w:pPr>
            <w:r w:rsidRPr="009C0CDB">
              <w:rPr>
                <w:b/>
                <w:bCs/>
                <w:color w:val="FFFFFF"/>
              </w:rPr>
              <w:t xml:space="preserve">Maximum Tolls </w:t>
            </w:r>
          </w:p>
        </w:tc>
      </w:tr>
      <w:tr w:rsidR="00E6476A" w:rsidRPr="009C0CDB" w14:paraId="49F74095" w14:textId="77777777" w:rsidTr="00E6476A">
        <w:trPr>
          <w:trHeight w:val="283"/>
          <w:tblHeader/>
        </w:trPr>
        <w:tc>
          <w:tcPr>
            <w:tcW w:w="0" w:type="auto"/>
            <w:vMerge/>
            <w:tcBorders>
              <w:top w:val="single" w:sz="8" w:space="0" w:color="0070C0"/>
              <w:left w:val="single" w:sz="8" w:space="0" w:color="0070C0"/>
              <w:bottom w:val="nil"/>
              <w:right w:val="nil"/>
            </w:tcBorders>
            <w:vAlign w:val="center"/>
            <w:hideMark/>
          </w:tcPr>
          <w:p w14:paraId="00006861" w14:textId="77777777" w:rsidR="00E6476A" w:rsidRPr="009C0CDB" w:rsidRDefault="00E6476A">
            <w:pPr>
              <w:rPr>
                <w:b/>
                <w:bCs/>
              </w:rPr>
            </w:pPr>
          </w:p>
        </w:tc>
        <w:tc>
          <w:tcPr>
            <w:tcW w:w="3378" w:type="dxa"/>
            <w:gridSpan w:val="3"/>
            <w:shd w:val="clear" w:color="auto" w:fill="0070C0"/>
            <w:tcMar>
              <w:top w:w="0" w:type="dxa"/>
              <w:left w:w="108" w:type="dxa"/>
              <w:bottom w:w="0" w:type="dxa"/>
              <w:right w:w="108" w:type="dxa"/>
            </w:tcMar>
            <w:hideMark/>
          </w:tcPr>
          <w:p w14:paraId="2AB10ED5" w14:textId="77777777" w:rsidR="00E6476A" w:rsidRPr="009C0CDB" w:rsidRDefault="00E6476A">
            <w:pPr>
              <w:jc w:val="center"/>
              <w:rPr>
                <w:b/>
                <w:bCs/>
              </w:rPr>
            </w:pPr>
            <w:r w:rsidRPr="009C0CDB">
              <w:rPr>
                <w:color w:val="FFFFFF"/>
              </w:rPr>
              <w:t>2022</w:t>
            </w:r>
          </w:p>
        </w:tc>
        <w:tc>
          <w:tcPr>
            <w:tcW w:w="3378" w:type="dxa"/>
            <w:gridSpan w:val="3"/>
            <w:tcBorders>
              <w:top w:val="nil"/>
              <w:left w:val="nil"/>
              <w:bottom w:val="nil"/>
              <w:right w:val="single" w:sz="8" w:space="0" w:color="0070C0"/>
            </w:tcBorders>
            <w:shd w:val="clear" w:color="auto" w:fill="0070C0"/>
            <w:tcMar>
              <w:top w:w="0" w:type="dxa"/>
              <w:left w:w="108" w:type="dxa"/>
              <w:bottom w:w="0" w:type="dxa"/>
              <w:right w:w="108" w:type="dxa"/>
            </w:tcMar>
            <w:hideMark/>
          </w:tcPr>
          <w:p w14:paraId="6592C0B1" w14:textId="77777777" w:rsidR="00E6476A" w:rsidRPr="009C0CDB" w:rsidRDefault="00E6476A">
            <w:pPr>
              <w:jc w:val="center"/>
              <w:rPr>
                <w:b/>
                <w:bCs/>
              </w:rPr>
            </w:pPr>
            <w:r w:rsidRPr="009C0CDB">
              <w:rPr>
                <w:color w:val="FFFFFF"/>
              </w:rPr>
              <w:t>2023</w:t>
            </w:r>
          </w:p>
        </w:tc>
      </w:tr>
      <w:tr w:rsidR="00E6476A" w:rsidRPr="009C0CDB" w14:paraId="33390987" w14:textId="77777777" w:rsidTr="00E6476A">
        <w:trPr>
          <w:trHeight w:val="418"/>
        </w:trPr>
        <w:tc>
          <w:tcPr>
            <w:tcW w:w="3020" w:type="dxa"/>
            <w:tcBorders>
              <w:top w:val="nil"/>
              <w:left w:val="single" w:sz="8" w:space="0" w:color="0070C0"/>
              <w:bottom w:val="single" w:sz="8" w:space="0" w:color="0070C0"/>
              <w:right w:val="single" w:sz="8" w:space="0" w:color="0070C0"/>
            </w:tcBorders>
            <w:shd w:val="clear" w:color="auto" w:fill="FFFFFF"/>
            <w:tcMar>
              <w:top w:w="0" w:type="dxa"/>
              <w:left w:w="108" w:type="dxa"/>
              <w:bottom w:w="0" w:type="dxa"/>
              <w:right w:w="108" w:type="dxa"/>
            </w:tcMar>
            <w:vAlign w:val="center"/>
            <w:hideMark/>
          </w:tcPr>
          <w:p w14:paraId="2D757EC1" w14:textId="77777777" w:rsidR="00E6476A" w:rsidRPr="009C0CDB" w:rsidRDefault="00E6476A">
            <w:pPr>
              <w:rPr>
                <w:b/>
                <w:bCs/>
              </w:rPr>
            </w:pPr>
          </w:p>
        </w:tc>
        <w:tc>
          <w:tcPr>
            <w:tcW w:w="1126" w:type="dxa"/>
            <w:tcBorders>
              <w:top w:val="nil"/>
              <w:left w:val="nil"/>
              <w:bottom w:val="single" w:sz="8" w:space="0" w:color="0070C0"/>
              <w:right w:val="nil"/>
            </w:tcBorders>
            <w:shd w:val="clear" w:color="auto" w:fill="FFFFFF"/>
            <w:tcMar>
              <w:top w:w="0" w:type="dxa"/>
              <w:left w:w="108" w:type="dxa"/>
              <w:bottom w:w="0" w:type="dxa"/>
              <w:right w:w="108" w:type="dxa"/>
            </w:tcMar>
            <w:vAlign w:val="center"/>
            <w:hideMark/>
          </w:tcPr>
          <w:p w14:paraId="0F8C77CD" w14:textId="77777777" w:rsidR="00E6476A" w:rsidRPr="009C0CDB" w:rsidRDefault="00E6476A">
            <w:pPr>
              <w:jc w:val="center"/>
              <w:rPr>
                <w:b/>
                <w:bCs/>
              </w:rPr>
            </w:pPr>
            <w:r w:rsidRPr="009C0CDB">
              <w:rPr>
                <w:b/>
                <w:bCs/>
                <w:color w:val="000000"/>
              </w:rPr>
              <w:t>Tag</w:t>
            </w:r>
          </w:p>
        </w:tc>
        <w:tc>
          <w:tcPr>
            <w:tcW w:w="1126" w:type="dxa"/>
            <w:tcBorders>
              <w:top w:val="nil"/>
              <w:left w:val="nil"/>
              <w:bottom w:val="single" w:sz="8" w:space="0" w:color="0070C0"/>
              <w:right w:val="nil"/>
            </w:tcBorders>
            <w:shd w:val="clear" w:color="auto" w:fill="FFFFFF"/>
            <w:tcMar>
              <w:top w:w="0" w:type="dxa"/>
              <w:left w:w="108" w:type="dxa"/>
              <w:bottom w:w="0" w:type="dxa"/>
              <w:right w:w="108" w:type="dxa"/>
            </w:tcMar>
            <w:vAlign w:val="center"/>
            <w:hideMark/>
          </w:tcPr>
          <w:p w14:paraId="1ADCA41B" w14:textId="77777777" w:rsidR="00E6476A" w:rsidRPr="009C0CDB" w:rsidRDefault="00E6476A">
            <w:pPr>
              <w:jc w:val="center"/>
              <w:rPr>
                <w:b/>
                <w:bCs/>
              </w:rPr>
            </w:pPr>
            <w:r w:rsidRPr="009C0CDB">
              <w:rPr>
                <w:b/>
                <w:bCs/>
                <w:color w:val="000000"/>
              </w:rPr>
              <w:t>Video</w:t>
            </w:r>
          </w:p>
        </w:tc>
        <w:tc>
          <w:tcPr>
            <w:tcW w:w="1126" w:type="dxa"/>
            <w:tcBorders>
              <w:top w:val="nil"/>
              <w:left w:val="nil"/>
              <w:bottom w:val="single" w:sz="8" w:space="0" w:color="0070C0"/>
              <w:right w:val="single" w:sz="8" w:space="0" w:color="0070C0"/>
            </w:tcBorders>
            <w:shd w:val="clear" w:color="auto" w:fill="FFFFFF"/>
            <w:tcMar>
              <w:top w:w="0" w:type="dxa"/>
              <w:left w:w="108" w:type="dxa"/>
              <w:bottom w:w="0" w:type="dxa"/>
              <w:right w:w="108" w:type="dxa"/>
            </w:tcMar>
            <w:vAlign w:val="center"/>
            <w:hideMark/>
          </w:tcPr>
          <w:p w14:paraId="1D904EDE" w14:textId="77777777" w:rsidR="00E6476A" w:rsidRPr="009C0CDB" w:rsidRDefault="00E6476A">
            <w:pPr>
              <w:jc w:val="center"/>
              <w:rPr>
                <w:b/>
                <w:bCs/>
              </w:rPr>
            </w:pPr>
            <w:proofErr w:type="spellStart"/>
            <w:r w:rsidRPr="009C0CDB">
              <w:rPr>
                <w:b/>
                <w:bCs/>
                <w:color w:val="000000"/>
              </w:rPr>
              <w:t>Unreg</w:t>
            </w:r>
            <w:proofErr w:type="spellEnd"/>
          </w:p>
        </w:tc>
        <w:tc>
          <w:tcPr>
            <w:tcW w:w="1126" w:type="dxa"/>
            <w:tcBorders>
              <w:top w:val="nil"/>
              <w:left w:val="nil"/>
              <w:bottom w:val="single" w:sz="8" w:space="0" w:color="0070C0"/>
              <w:right w:val="nil"/>
            </w:tcBorders>
            <w:shd w:val="clear" w:color="auto" w:fill="FFFFFF"/>
            <w:tcMar>
              <w:top w:w="0" w:type="dxa"/>
              <w:left w:w="108" w:type="dxa"/>
              <w:bottom w:w="0" w:type="dxa"/>
              <w:right w:w="108" w:type="dxa"/>
            </w:tcMar>
            <w:vAlign w:val="center"/>
            <w:hideMark/>
          </w:tcPr>
          <w:p w14:paraId="442E50D2" w14:textId="77777777" w:rsidR="00E6476A" w:rsidRPr="009C0CDB" w:rsidRDefault="00E6476A">
            <w:pPr>
              <w:jc w:val="center"/>
              <w:rPr>
                <w:b/>
                <w:bCs/>
              </w:rPr>
            </w:pPr>
            <w:r w:rsidRPr="009C0CDB">
              <w:rPr>
                <w:b/>
                <w:bCs/>
                <w:color w:val="000000"/>
              </w:rPr>
              <w:t>Tag</w:t>
            </w:r>
          </w:p>
        </w:tc>
        <w:tc>
          <w:tcPr>
            <w:tcW w:w="1126" w:type="dxa"/>
            <w:tcBorders>
              <w:top w:val="nil"/>
              <w:left w:val="nil"/>
              <w:bottom w:val="single" w:sz="8" w:space="0" w:color="0070C0"/>
              <w:right w:val="nil"/>
            </w:tcBorders>
            <w:shd w:val="clear" w:color="auto" w:fill="FFFFFF"/>
            <w:tcMar>
              <w:top w:w="0" w:type="dxa"/>
              <w:left w:w="108" w:type="dxa"/>
              <w:bottom w:w="0" w:type="dxa"/>
              <w:right w:w="108" w:type="dxa"/>
            </w:tcMar>
            <w:vAlign w:val="center"/>
            <w:hideMark/>
          </w:tcPr>
          <w:p w14:paraId="3FDF6EA4" w14:textId="77777777" w:rsidR="00E6476A" w:rsidRPr="009C0CDB" w:rsidRDefault="00E6476A">
            <w:pPr>
              <w:jc w:val="center"/>
              <w:rPr>
                <w:b/>
                <w:bCs/>
              </w:rPr>
            </w:pPr>
            <w:r w:rsidRPr="009C0CDB">
              <w:rPr>
                <w:b/>
                <w:bCs/>
                <w:color w:val="000000"/>
              </w:rPr>
              <w:t>Video</w:t>
            </w:r>
          </w:p>
        </w:tc>
        <w:tc>
          <w:tcPr>
            <w:tcW w:w="1126" w:type="dxa"/>
            <w:tcBorders>
              <w:top w:val="nil"/>
              <w:left w:val="nil"/>
              <w:bottom w:val="single" w:sz="8" w:space="0" w:color="0070C0"/>
              <w:right w:val="single" w:sz="8" w:space="0" w:color="0070C0"/>
            </w:tcBorders>
            <w:shd w:val="clear" w:color="auto" w:fill="FFFFFF"/>
            <w:tcMar>
              <w:top w:w="0" w:type="dxa"/>
              <w:left w:w="108" w:type="dxa"/>
              <w:bottom w:w="0" w:type="dxa"/>
              <w:right w:w="108" w:type="dxa"/>
            </w:tcMar>
            <w:vAlign w:val="center"/>
            <w:hideMark/>
          </w:tcPr>
          <w:p w14:paraId="79A4680F" w14:textId="77777777" w:rsidR="00E6476A" w:rsidRPr="009C0CDB" w:rsidRDefault="00E6476A">
            <w:pPr>
              <w:jc w:val="center"/>
              <w:rPr>
                <w:b/>
                <w:bCs/>
              </w:rPr>
            </w:pPr>
            <w:proofErr w:type="spellStart"/>
            <w:r w:rsidRPr="009C0CDB">
              <w:rPr>
                <w:b/>
                <w:bCs/>
                <w:color w:val="000000"/>
              </w:rPr>
              <w:t>Unreg</w:t>
            </w:r>
            <w:proofErr w:type="spellEnd"/>
          </w:p>
        </w:tc>
      </w:tr>
      <w:tr w:rsidR="00E6476A" w:rsidRPr="009C0CDB" w14:paraId="74C55749" w14:textId="77777777" w:rsidTr="00E6476A">
        <w:trPr>
          <w:trHeight w:val="510"/>
        </w:trPr>
        <w:tc>
          <w:tcPr>
            <w:tcW w:w="3020" w:type="dxa"/>
            <w:tcBorders>
              <w:top w:val="nil"/>
              <w:left w:val="single" w:sz="8" w:space="0" w:color="0070C0"/>
              <w:bottom w:val="single" w:sz="8" w:space="0" w:color="BFBFBF"/>
              <w:right w:val="single" w:sz="8" w:space="0" w:color="0070C0"/>
            </w:tcBorders>
            <w:shd w:val="clear" w:color="auto" w:fill="FFFFFF"/>
            <w:tcMar>
              <w:top w:w="0" w:type="dxa"/>
              <w:left w:w="108" w:type="dxa"/>
              <w:bottom w:w="0" w:type="dxa"/>
              <w:right w:w="108" w:type="dxa"/>
            </w:tcMar>
            <w:vAlign w:val="center"/>
            <w:hideMark/>
          </w:tcPr>
          <w:p w14:paraId="2E2F401C" w14:textId="77777777" w:rsidR="00E6476A" w:rsidRPr="009C0CDB" w:rsidRDefault="00E6476A">
            <w:r w:rsidRPr="009C0CDB">
              <w:rPr>
                <w:color w:val="000000"/>
              </w:rPr>
              <w:t>Motor cars (up to eight passengers and driver)</w:t>
            </w:r>
          </w:p>
        </w:tc>
        <w:tc>
          <w:tcPr>
            <w:tcW w:w="1126" w:type="dxa"/>
            <w:tcBorders>
              <w:top w:val="nil"/>
              <w:left w:val="nil"/>
              <w:bottom w:val="single" w:sz="8" w:space="0" w:color="BFBFBF"/>
              <w:right w:val="nil"/>
            </w:tcBorders>
            <w:tcMar>
              <w:top w:w="0" w:type="dxa"/>
              <w:left w:w="108" w:type="dxa"/>
              <w:bottom w:w="0" w:type="dxa"/>
              <w:right w:w="108" w:type="dxa"/>
            </w:tcMar>
            <w:vAlign w:val="center"/>
            <w:hideMark/>
          </w:tcPr>
          <w:p w14:paraId="65BB3142" w14:textId="77777777" w:rsidR="00E6476A" w:rsidRPr="009C0CDB" w:rsidRDefault="00E6476A">
            <w:pPr>
              <w:jc w:val="center"/>
            </w:pPr>
            <w:r w:rsidRPr="009C0CDB">
              <w:t>€2.10</w:t>
            </w:r>
          </w:p>
        </w:tc>
        <w:tc>
          <w:tcPr>
            <w:tcW w:w="1126" w:type="dxa"/>
            <w:tcBorders>
              <w:top w:val="nil"/>
              <w:left w:val="nil"/>
              <w:bottom w:val="single" w:sz="8" w:space="0" w:color="BFBFBF"/>
              <w:right w:val="nil"/>
            </w:tcBorders>
            <w:tcMar>
              <w:top w:w="0" w:type="dxa"/>
              <w:left w:w="108" w:type="dxa"/>
              <w:bottom w:w="0" w:type="dxa"/>
              <w:right w:w="108" w:type="dxa"/>
            </w:tcMar>
            <w:vAlign w:val="center"/>
            <w:hideMark/>
          </w:tcPr>
          <w:p w14:paraId="595DAEEE" w14:textId="77777777" w:rsidR="00E6476A" w:rsidRPr="009C0CDB" w:rsidRDefault="00E6476A">
            <w:pPr>
              <w:jc w:val="center"/>
            </w:pPr>
            <w:r w:rsidRPr="009C0CDB">
              <w:t>€2.70</w:t>
            </w:r>
          </w:p>
        </w:tc>
        <w:tc>
          <w:tcPr>
            <w:tcW w:w="1126" w:type="dxa"/>
            <w:tcBorders>
              <w:top w:val="nil"/>
              <w:left w:val="nil"/>
              <w:bottom w:val="single" w:sz="8" w:space="0" w:color="BFBFBF"/>
              <w:right w:val="single" w:sz="8" w:space="0" w:color="0070C0"/>
            </w:tcBorders>
            <w:tcMar>
              <w:top w:w="0" w:type="dxa"/>
              <w:left w:w="108" w:type="dxa"/>
              <w:bottom w:w="0" w:type="dxa"/>
              <w:right w:w="108" w:type="dxa"/>
            </w:tcMar>
            <w:vAlign w:val="center"/>
            <w:hideMark/>
          </w:tcPr>
          <w:p w14:paraId="7A0CC742" w14:textId="77777777" w:rsidR="00E6476A" w:rsidRPr="009C0CDB" w:rsidRDefault="00E6476A">
            <w:pPr>
              <w:jc w:val="center"/>
            </w:pPr>
            <w:r w:rsidRPr="009C0CDB">
              <w:t>€3.20</w:t>
            </w:r>
          </w:p>
        </w:tc>
        <w:tc>
          <w:tcPr>
            <w:tcW w:w="1126" w:type="dxa"/>
            <w:tcBorders>
              <w:top w:val="nil"/>
              <w:left w:val="nil"/>
              <w:bottom w:val="single" w:sz="8" w:space="0" w:color="BFBFBF"/>
              <w:right w:val="nil"/>
            </w:tcBorders>
            <w:shd w:val="clear" w:color="auto" w:fill="E2EFD9"/>
            <w:tcMar>
              <w:top w:w="0" w:type="dxa"/>
              <w:left w:w="108" w:type="dxa"/>
              <w:bottom w:w="0" w:type="dxa"/>
              <w:right w:w="108" w:type="dxa"/>
            </w:tcMar>
            <w:vAlign w:val="center"/>
            <w:hideMark/>
          </w:tcPr>
          <w:p w14:paraId="57453745" w14:textId="77777777" w:rsidR="00E6476A" w:rsidRPr="009C0CDB" w:rsidRDefault="00E6476A">
            <w:pPr>
              <w:jc w:val="center"/>
            </w:pPr>
            <w:r w:rsidRPr="009C0CDB">
              <w:rPr>
                <w:color w:val="000000"/>
              </w:rPr>
              <w:t>€2.30</w:t>
            </w:r>
          </w:p>
        </w:tc>
        <w:tc>
          <w:tcPr>
            <w:tcW w:w="1126" w:type="dxa"/>
            <w:tcBorders>
              <w:top w:val="nil"/>
              <w:left w:val="nil"/>
              <w:bottom w:val="single" w:sz="8" w:space="0" w:color="BFBFBF"/>
              <w:right w:val="nil"/>
            </w:tcBorders>
            <w:shd w:val="clear" w:color="auto" w:fill="E2EFD9"/>
            <w:tcMar>
              <w:top w:w="0" w:type="dxa"/>
              <w:left w:w="108" w:type="dxa"/>
              <w:bottom w:w="0" w:type="dxa"/>
              <w:right w:w="108" w:type="dxa"/>
            </w:tcMar>
            <w:vAlign w:val="center"/>
            <w:hideMark/>
          </w:tcPr>
          <w:p w14:paraId="15663B7E" w14:textId="77777777" w:rsidR="00E6476A" w:rsidRPr="009C0CDB" w:rsidRDefault="00E6476A">
            <w:pPr>
              <w:jc w:val="center"/>
              <w:rPr>
                <w:lang w:eastAsia="en-IE"/>
              </w:rPr>
            </w:pPr>
            <w:r w:rsidRPr="009C0CDB">
              <w:rPr>
                <w:color w:val="000000"/>
              </w:rPr>
              <w:t>€2.90</w:t>
            </w:r>
          </w:p>
        </w:tc>
        <w:tc>
          <w:tcPr>
            <w:tcW w:w="1126" w:type="dxa"/>
            <w:tcBorders>
              <w:top w:val="nil"/>
              <w:left w:val="nil"/>
              <w:bottom w:val="single" w:sz="8" w:space="0" w:color="BFBFBF"/>
              <w:right w:val="single" w:sz="8" w:space="0" w:color="0070C0"/>
            </w:tcBorders>
            <w:shd w:val="clear" w:color="auto" w:fill="E2EFD9"/>
            <w:tcMar>
              <w:top w:w="0" w:type="dxa"/>
              <w:left w:w="108" w:type="dxa"/>
              <w:bottom w:w="0" w:type="dxa"/>
              <w:right w:w="108" w:type="dxa"/>
            </w:tcMar>
            <w:vAlign w:val="center"/>
            <w:hideMark/>
          </w:tcPr>
          <w:p w14:paraId="0E051A0F" w14:textId="77777777" w:rsidR="00E6476A" w:rsidRPr="009C0CDB" w:rsidRDefault="00E6476A">
            <w:pPr>
              <w:jc w:val="center"/>
            </w:pPr>
            <w:r w:rsidRPr="009C0CDB">
              <w:rPr>
                <w:color w:val="000000"/>
              </w:rPr>
              <w:t>€3.50</w:t>
            </w:r>
          </w:p>
        </w:tc>
      </w:tr>
      <w:tr w:rsidR="00E6476A" w:rsidRPr="009C0CDB" w14:paraId="62B0D645" w14:textId="77777777" w:rsidTr="00E6476A">
        <w:trPr>
          <w:trHeight w:val="510"/>
        </w:trPr>
        <w:tc>
          <w:tcPr>
            <w:tcW w:w="3020" w:type="dxa"/>
            <w:tcBorders>
              <w:top w:val="nil"/>
              <w:left w:val="single" w:sz="8" w:space="0" w:color="0070C0"/>
              <w:bottom w:val="single" w:sz="8" w:space="0" w:color="BFBFBF"/>
              <w:right w:val="single" w:sz="8" w:space="0" w:color="0070C0"/>
            </w:tcBorders>
            <w:shd w:val="clear" w:color="auto" w:fill="FFFFFF"/>
            <w:tcMar>
              <w:top w:w="0" w:type="dxa"/>
              <w:left w:w="108" w:type="dxa"/>
              <w:bottom w:w="0" w:type="dxa"/>
              <w:right w:w="108" w:type="dxa"/>
            </w:tcMar>
            <w:vAlign w:val="center"/>
            <w:hideMark/>
          </w:tcPr>
          <w:p w14:paraId="51B2814E" w14:textId="77777777" w:rsidR="00E6476A" w:rsidRPr="009C0CDB" w:rsidRDefault="00E6476A">
            <w:r w:rsidRPr="009C0CDB">
              <w:rPr>
                <w:color w:val="000000"/>
              </w:rPr>
              <w:t>Goods Vehicles not exceeding 2,000kg</w:t>
            </w:r>
          </w:p>
        </w:tc>
        <w:tc>
          <w:tcPr>
            <w:tcW w:w="1126" w:type="dxa"/>
            <w:tcBorders>
              <w:top w:val="nil"/>
              <w:left w:val="nil"/>
              <w:bottom w:val="single" w:sz="8" w:space="0" w:color="BFBFBF"/>
              <w:right w:val="nil"/>
            </w:tcBorders>
            <w:tcMar>
              <w:top w:w="0" w:type="dxa"/>
              <w:left w:w="108" w:type="dxa"/>
              <w:bottom w:w="0" w:type="dxa"/>
              <w:right w:w="108" w:type="dxa"/>
            </w:tcMar>
            <w:vAlign w:val="center"/>
            <w:hideMark/>
          </w:tcPr>
          <w:p w14:paraId="48177BDB" w14:textId="77777777" w:rsidR="00E6476A" w:rsidRPr="009C0CDB" w:rsidRDefault="00E6476A">
            <w:pPr>
              <w:jc w:val="center"/>
            </w:pPr>
            <w:r w:rsidRPr="009C0CDB">
              <w:t>€3.00</w:t>
            </w:r>
          </w:p>
        </w:tc>
        <w:tc>
          <w:tcPr>
            <w:tcW w:w="1126" w:type="dxa"/>
            <w:tcBorders>
              <w:top w:val="nil"/>
              <w:left w:val="nil"/>
              <w:bottom w:val="single" w:sz="8" w:space="0" w:color="BFBFBF"/>
              <w:right w:val="nil"/>
            </w:tcBorders>
            <w:tcMar>
              <w:top w:w="0" w:type="dxa"/>
              <w:left w:w="108" w:type="dxa"/>
              <w:bottom w:w="0" w:type="dxa"/>
              <w:right w:w="108" w:type="dxa"/>
            </w:tcMar>
            <w:vAlign w:val="center"/>
            <w:hideMark/>
          </w:tcPr>
          <w:p w14:paraId="47F75753" w14:textId="77777777" w:rsidR="00E6476A" w:rsidRPr="009C0CDB" w:rsidRDefault="00E6476A">
            <w:pPr>
              <w:jc w:val="center"/>
            </w:pPr>
            <w:r w:rsidRPr="009C0CDB">
              <w:t>€3.50</w:t>
            </w:r>
          </w:p>
        </w:tc>
        <w:tc>
          <w:tcPr>
            <w:tcW w:w="1126" w:type="dxa"/>
            <w:tcBorders>
              <w:top w:val="nil"/>
              <w:left w:val="nil"/>
              <w:bottom w:val="single" w:sz="8" w:space="0" w:color="BFBFBF"/>
              <w:right w:val="single" w:sz="8" w:space="0" w:color="0070C0"/>
            </w:tcBorders>
            <w:tcMar>
              <w:top w:w="0" w:type="dxa"/>
              <w:left w:w="108" w:type="dxa"/>
              <w:bottom w:w="0" w:type="dxa"/>
              <w:right w:w="108" w:type="dxa"/>
            </w:tcMar>
            <w:vAlign w:val="center"/>
            <w:hideMark/>
          </w:tcPr>
          <w:p w14:paraId="76DDF207" w14:textId="77777777" w:rsidR="00E6476A" w:rsidRPr="009C0CDB" w:rsidRDefault="00E6476A">
            <w:pPr>
              <w:jc w:val="center"/>
            </w:pPr>
            <w:r w:rsidRPr="009C0CDB">
              <w:t>€4.10</w:t>
            </w:r>
          </w:p>
        </w:tc>
        <w:tc>
          <w:tcPr>
            <w:tcW w:w="1126" w:type="dxa"/>
            <w:tcBorders>
              <w:top w:val="nil"/>
              <w:left w:val="nil"/>
              <w:bottom w:val="single" w:sz="8" w:space="0" w:color="BFBFBF"/>
              <w:right w:val="nil"/>
            </w:tcBorders>
            <w:shd w:val="clear" w:color="auto" w:fill="E2EFD9"/>
            <w:tcMar>
              <w:top w:w="0" w:type="dxa"/>
              <w:left w:w="108" w:type="dxa"/>
              <w:bottom w:w="0" w:type="dxa"/>
              <w:right w:w="108" w:type="dxa"/>
            </w:tcMar>
            <w:vAlign w:val="center"/>
            <w:hideMark/>
          </w:tcPr>
          <w:p w14:paraId="3B9ADF71" w14:textId="77777777" w:rsidR="00E6476A" w:rsidRPr="009C0CDB" w:rsidRDefault="00E6476A">
            <w:pPr>
              <w:jc w:val="center"/>
            </w:pPr>
            <w:r w:rsidRPr="009C0CDB">
              <w:rPr>
                <w:color w:val="000000"/>
              </w:rPr>
              <w:t>€3.20</w:t>
            </w:r>
          </w:p>
        </w:tc>
        <w:tc>
          <w:tcPr>
            <w:tcW w:w="1126" w:type="dxa"/>
            <w:tcBorders>
              <w:top w:val="nil"/>
              <w:left w:val="nil"/>
              <w:bottom w:val="single" w:sz="8" w:space="0" w:color="BFBFBF"/>
              <w:right w:val="nil"/>
            </w:tcBorders>
            <w:shd w:val="clear" w:color="auto" w:fill="E2EFD9"/>
            <w:tcMar>
              <w:top w:w="0" w:type="dxa"/>
              <w:left w:w="108" w:type="dxa"/>
              <w:bottom w:w="0" w:type="dxa"/>
              <w:right w:w="108" w:type="dxa"/>
            </w:tcMar>
            <w:vAlign w:val="center"/>
            <w:hideMark/>
          </w:tcPr>
          <w:p w14:paraId="3F7AD747" w14:textId="77777777" w:rsidR="00E6476A" w:rsidRPr="009C0CDB" w:rsidRDefault="00E6476A">
            <w:pPr>
              <w:jc w:val="center"/>
              <w:rPr>
                <w:lang w:eastAsia="en-IE"/>
              </w:rPr>
            </w:pPr>
            <w:r w:rsidRPr="009C0CDB">
              <w:rPr>
                <w:color w:val="000000"/>
              </w:rPr>
              <w:t>€3.80</w:t>
            </w:r>
          </w:p>
        </w:tc>
        <w:tc>
          <w:tcPr>
            <w:tcW w:w="1126" w:type="dxa"/>
            <w:tcBorders>
              <w:top w:val="nil"/>
              <w:left w:val="nil"/>
              <w:bottom w:val="single" w:sz="8" w:space="0" w:color="BFBFBF"/>
              <w:right w:val="single" w:sz="8" w:space="0" w:color="0070C0"/>
            </w:tcBorders>
            <w:shd w:val="clear" w:color="auto" w:fill="E2EFD9"/>
            <w:tcMar>
              <w:top w:w="0" w:type="dxa"/>
              <w:left w:w="108" w:type="dxa"/>
              <w:bottom w:w="0" w:type="dxa"/>
              <w:right w:w="108" w:type="dxa"/>
            </w:tcMar>
            <w:vAlign w:val="center"/>
            <w:hideMark/>
          </w:tcPr>
          <w:p w14:paraId="66A1A7D7" w14:textId="77777777" w:rsidR="00E6476A" w:rsidRPr="009C0CDB" w:rsidRDefault="00E6476A">
            <w:pPr>
              <w:jc w:val="center"/>
            </w:pPr>
            <w:r w:rsidRPr="009C0CDB">
              <w:rPr>
                <w:color w:val="000000"/>
              </w:rPr>
              <w:t>€4.40</w:t>
            </w:r>
          </w:p>
        </w:tc>
      </w:tr>
      <w:tr w:rsidR="00E6476A" w:rsidRPr="009C0CDB" w14:paraId="476A103B" w14:textId="77777777" w:rsidTr="00E6476A">
        <w:trPr>
          <w:trHeight w:val="510"/>
        </w:trPr>
        <w:tc>
          <w:tcPr>
            <w:tcW w:w="3020" w:type="dxa"/>
            <w:tcBorders>
              <w:top w:val="nil"/>
              <w:left w:val="single" w:sz="8" w:space="0" w:color="0070C0"/>
              <w:bottom w:val="single" w:sz="8" w:space="0" w:color="BFBFBF"/>
              <w:right w:val="single" w:sz="8" w:space="0" w:color="0070C0"/>
            </w:tcBorders>
            <w:shd w:val="clear" w:color="auto" w:fill="FFFFFF"/>
            <w:tcMar>
              <w:top w:w="0" w:type="dxa"/>
              <w:left w:w="108" w:type="dxa"/>
              <w:bottom w:w="0" w:type="dxa"/>
              <w:right w:w="108" w:type="dxa"/>
            </w:tcMar>
            <w:vAlign w:val="center"/>
            <w:hideMark/>
          </w:tcPr>
          <w:p w14:paraId="3518F5E0" w14:textId="77777777" w:rsidR="00E6476A" w:rsidRPr="009C0CDB" w:rsidRDefault="00E6476A">
            <w:r w:rsidRPr="009C0CDB">
              <w:rPr>
                <w:color w:val="000000"/>
              </w:rPr>
              <w:t>Buses or Coaches (more than 8 passengers)</w:t>
            </w:r>
          </w:p>
        </w:tc>
        <w:tc>
          <w:tcPr>
            <w:tcW w:w="1126" w:type="dxa"/>
            <w:tcBorders>
              <w:top w:val="nil"/>
              <w:left w:val="nil"/>
              <w:bottom w:val="single" w:sz="8" w:space="0" w:color="BFBFBF"/>
              <w:right w:val="nil"/>
            </w:tcBorders>
            <w:tcMar>
              <w:top w:w="0" w:type="dxa"/>
              <w:left w:w="108" w:type="dxa"/>
              <w:bottom w:w="0" w:type="dxa"/>
              <w:right w:w="108" w:type="dxa"/>
            </w:tcMar>
            <w:vAlign w:val="center"/>
            <w:hideMark/>
          </w:tcPr>
          <w:p w14:paraId="199D5FEE" w14:textId="77777777" w:rsidR="00E6476A" w:rsidRPr="009C0CDB" w:rsidRDefault="00E6476A">
            <w:pPr>
              <w:jc w:val="center"/>
            </w:pPr>
            <w:r w:rsidRPr="009C0CDB">
              <w:t>€3.00</w:t>
            </w:r>
          </w:p>
        </w:tc>
        <w:tc>
          <w:tcPr>
            <w:tcW w:w="1126" w:type="dxa"/>
            <w:tcBorders>
              <w:top w:val="nil"/>
              <w:left w:val="nil"/>
              <w:bottom w:val="single" w:sz="8" w:space="0" w:color="BFBFBF"/>
              <w:right w:val="nil"/>
            </w:tcBorders>
            <w:tcMar>
              <w:top w:w="0" w:type="dxa"/>
              <w:left w:w="108" w:type="dxa"/>
              <w:bottom w:w="0" w:type="dxa"/>
              <w:right w:w="108" w:type="dxa"/>
            </w:tcMar>
            <w:vAlign w:val="center"/>
            <w:hideMark/>
          </w:tcPr>
          <w:p w14:paraId="4575E0DD" w14:textId="77777777" w:rsidR="00E6476A" w:rsidRPr="009C0CDB" w:rsidRDefault="00E6476A">
            <w:pPr>
              <w:jc w:val="center"/>
            </w:pPr>
            <w:r w:rsidRPr="009C0CDB">
              <w:t>€3.50</w:t>
            </w:r>
          </w:p>
        </w:tc>
        <w:tc>
          <w:tcPr>
            <w:tcW w:w="1126" w:type="dxa"/>
            <w:tcBorders>
              <w:top w:val="nil"/>
              <w:left w:val="nil"/>
              <w:bottom w:val="single" w:sz="8" w:space="0" w:color="BFBFBF"/>
              <w:right w:val="single" w:sz="8" w:space="0" w:color="0070C0"/>
            </w:tcBorders>
            <w:tcMar>
              <w:top w:w="0" w:type="dxa"/>
              <w:left w:w="108" w:type="dxa"/>
              <w:bottom w:w="0" w:type="dxa"/>
              <w:right w:w="108" w:type="dxa"/>
            </w:tcMar>
            <w:vAlign w:val="center"/>
            <w:hideMark/>
          </w:tcPr>
          <w:p w14:paraId="564048FD" w14:textId="77777777" w:rsidR="00E6476A" w:rsidRPr="009C0CDB" w:rsidRDefault="00E6476A">
            <w:pPr>
              <w:jc w:val="center"/>
            </w:pPr>
            <w:r w:rsidRPr="009C0CDB">
              <w:t>€4.10</w:t>
            </w:r>
          </w:p>
        </w:tc>
        <w:tc>
          <w:tcPr>
            <w:tcW w:w="1126" w:type="dxa"/>
            <w:tcBorders>
              <w:top w:val="nil"/>
              <w:left w:val="nil"/>
              <w:bottom w:val="single" w:sz="8" w:space="0" w:color="BFBFBF"/>
              <w:right w:val="nil"/>
            </w:tcBorders>
            <w:shd w:val="clear" w:color="auto" w:fill="E2EFD9"/>
            <w:tcMar>
              <w:top w:w="0" w:type="dxa"/>
              <w:left w:w="108" w:type="dxa"/>
              <w:bottom w:w="0" w:type="dxa"/>
              <w:right w:w="108" w:type="dxa"/>
            </w:tcMar>
            <w:vAlign w:val="center"/>
            <w:hideMark/>
          </w:tcPr>
          <w:p w14:paraId="7B3CEF6B" w14:textId="77777777" w:rsidR="00E6476A" w:rsidRPr="009C0CDB" w:rsidRDefault="00E6476A">
            <w:pPr>
              <w:jc w:val="center"/>
            </w:pPr>
            <w:r w:rsidRPr="009C0CDB">
              <w:rPr>
                <w:color w:val="000000"/>
              </w:rPr>
              <w:t>€3.20</w:t>
            </w:r>
          </w:p>
        </w:tc>
        <w:tc>
          <w:tcPr>
            <w:tcW w:w="1126" w:type="dxa"/>
            <w:tcBorders>
              <w:top w:val="nil"/>
              <w:left w:val="nil"/>
              <w:bottom w:val="single" w:sz="8" w:space="0" w:color="BFBFBF"/>
              <w:right w:val="nil"/>
            </w:tcBorders>
            <w:shd w:val="clear" w:color="auto" w:fill="E2EFD9"/>
            <w:tcMar>
              <w:top w:w="0" w:type="dxa"/>
              <w:left w:w="108" w:type="dxa"/>
              <w:bottom w:w="0" w:type="dxa"/>
              <w:right w:w="108" w:type="dxa"/>
            </w:tcMar>
            <w:vAlign w:val="center"/>
            <w:hideMark/>
          </w:tcPr>
          <w:p w14:paraId="6BB9D015" w14:textId="77777777" w:rsidR="00E6476A" w:rsidRPr="009C0CDB" w:rsidRDefault="00E6476A">
            <w:pPr>
              <w:jc w:val="center"/>
              <w:rPr>
                <w:lang w:eastAsia="en-IE"/>
              </w:rPr>
            </w:pPr>
            <w:r w:rsidRPr="009C0CDB">
              <w:rPr>
                <w:color w:val="000000"/>
              </w:rPr>
              <w:t>€3.80</w:t>
            </w:r>
          </w:p>
        </w:tc>
        <w:tc>
          <w:tcPr>
            <w:tcW w:w="1126" w:type="dxa"/>
            <w:tcBorders>
              <w:top w:val="nil"/>
              <w:left w:val="nil"/>
              <w:bottom w:val="single" w:sz="8" w:space="0" w:color="BFBFBF"/>
              <w:right w:val="single" w:sz="8" w:space="0" w:color="0070C0"/>
            </w:tcBorders>
            <w:shd w:val="clear" w:color="auto" w:fill="E2EFD9"/>
            <w:tcMar>
              <w:top w:w="0" w:type="dxa"/>
              <w:left w:w="108" w:type="dxa"/>
              <w:bottom w:w="0" w:type="dxa"/>
              <w:right w:w="108" w:type="dxa"/>
            </w:tcMar>
            <w:vAlign w:val="center"/>
            <w:hideMark/>
          </w:tcPr>
          <w:p w14:paraId="5270AB57" w14:textId="77777777" w:rsidR="00E6476A" w:rsidRPr="009C0CDB" w:rsidRDefault="00E6476A">
            <w:pPr>
              <w:jc w:val="center"/>
            </w:pPr>
            <w:r w:rsidRPr="009C0CDB">
              <w:rPr>
                <w:color w:val="000000"/>
              </w:rPr>
              <w:t>€4.40</w:t>
            </w:r>
          </w:p>
        </w:tc>
      </w:tr>
      <w:tr w:rsidR="00E6476A" w:rsidRPr="009C0CDB" w14:paraId="743088CA" w14:textId="77777777" w:rsidTr="00E6476A">
        <w:trPr>
          <w:trHeight w:val="510"/>
        </w:trPr>
        <w:tc>
          <w:tcPr>
            <w:tcW w:w="3020" w:type="dxa"/>
            <w:tcBorders>
              <w:top w:val="nil"/>
              <w:left w:val="single" w:sz="8" w:space="0" w:color="0070C0"/>
              <w:bottom w:val="single" w:sz="8" w:space="0" w:color="BFBFBF"/>
              <w:right w:val="single" w:sz="8" w:space="0" w:color="0070C0"/>
            </w:tcBorders>
            <w:shd w:val="clear" w:color="auto" w:fill="FFFFFF"/>
            <w:tcMar>
              <w:top w:w="0" w:type="dxa"/>
              <w:left w:w="108" w:type="dxa"/>
              <w:bottom w:w="0" w:type="dxa"/>
              <w:right w:w="108" w:type="dxa"/>
            </w:tcMar>
            <w:vAlign w:val="center"/>
            <w:hideMark/>
          </w:tcPr>
          <w:p w14:paraId="4AFD894A" w14:textId="77777777" w:rsidR="00E6476A" w:rsidRPr="009C0CDB" w:rsidRDefault="00E6476A">
            <w:r w:rsidRPr="009C0CDB">
              <w:rPr>
                <w:color w:val="000000"/>
              </w:rPr>
              <w:t>Goods Vehicles between 2,000kg and 10,000kg</w:t>
            </w:r>
          </w:p>
        </w:tc>
        <w:tc>
          <w:tcPr>
            <w:tcW w:w="1126" w:type="dxa"/>
            <w:tcBorders>
              <w:top w:val="nil"/>
              <w:left w:val="nil"/>
              <w:bottom w:val="single" w:sz="8" w:space="0" w:color="BFBFBF"/>
              <w:right w:val="nil"/>
            </w:tcBorders>
            <w:tcMar>
              <w:top w:w="0" w:type="dxa"/>
              <w:left w:w="108" w:type="dxa"/>
              <w:bottom w:w="0" w:type="dxa"/>
              <w:right w:w="108" w:type="dxa"/>
            </w:tcMar>
            <w:vAlign w:val="center"/>
            <w:hideMark/>
          </w:tcPr>
          <w:p w14:paraId="7B88BE43" w14:textId="77777777" w:rsidR="00E6476A" w:rsidRPr="009C0CDB" w:rsidRDefault="00E6476A">
            <w:pPr>
              <w:jc w:val="center"/>
            </w:pPr>
            <w:r w:rsidRPr="009C0CDB">
              <w:t>€4.40</w:t>
            </w:r>
          </w:p>
        </w:tc>
        <w:tc>
          <w:tcPr>
            <w:tcW w:w="1126" w:type="dxa"/>
            <w:tcBorders>
              <w:top w:val="nil"/>
              <w:left w:val="nil"/>
              <w:bottom w:val="single" w:sz="8" w:space="0" w:color="BFBFBF"/>
              <w:right w:val="nil"/>
            </w:tcBorders>
            <w:tcMar>
              <w:top w:w="0" w:type="dxa"/>
              <w:left w:w="108" w:type="dxa"/>
              <w:bottom w:w="0" w:type="dxa"/>
              <w:right w:w="108" w:type="dxa"/>
            </w:tcMar>
            <w:vAlign w:val="center"/>
            <w:hideMark/>
          </w:tcPr>
          <w:p w14:paraId="47F7FD23" w14:textId="77777777" w:rsidR="00E6476A" w:rsidRPr="009C0CDB" w:rsidRDefault="00E6476A">
            <w:pPr>
              <w:jc w:val="center"/>
            </w:pPr>
            <w:r w:rsidRPr="009C0CDB">
              <w:t>€4.90</w:t>
            </w:r>
          </w:p>
        </w:tc>
        <w:tc>
          <w:tcPr>
            <w:tcW w:w="1126" w:type="dxa"/>
            <w:tcBorders>
              <w:top w:val="nil"/>
              <w:left w:val="nil"/>
              <w:bottom w:val="single" w:sz="8" w:space="0" w:color="BFBFBF"/>
              <w:right w:val="single" w:sz="8" w:space="0" w:color="0070C0"/>
            </w:tcBorders>
            <w:tcMar>
              <w:top w:w="0" w:type="dxa"/>
              <w:left w:w="108" w:type="dxa"/>
              <w:bottom w:w="0" w:type="dxa"/>
              <w:right w:w="108" w:type="dxa"/>
            </w:tcMar>
            <w:vAlign w:val="center"/>
            <w:hideMark/>
          </w:tcPr>
          <w:p w14:paraId="0FB6F7AB" w14:textId="77777777" w:rsidR="00E6476A" w:rsidRPr="009C0CDB" w:rsidRDefault="00E6476A">
            <w:pPr>
              <w:jc w:val="center"/>
            </w:pPr>
            <w:r w:rsidRPr="009C0CDB">
              <w:t>€5.40</w:t>
            </w:r>
          </w:p>
        </w:tc>
        <w:tc>
          <w:tcPr>
            <w:tcW w:w="1126" w:type="dxa"/>
            <w:tcBorders>
              <w:top w:val="nil"/>
              <w:left w:val="nil"/>
              <w:bottom w:val="single" w:sz="8" w:space="0" w:color="BFBFBF"/>
              <w:right w:val="nil"/>
            </w:tcBorders>
            <w:shd w:val="clear" w:color="auto" w:fill="E2EFD9"/>
            <w:tcMar>
              <w:top w:w="0" w:type="dxa"/>
              <w:left w:w="108" w:type="dxa"/>
              <w:bottom w:w="0" w:type="dxa"/>
              <w:right w:w="108" w:type="dxa"/>
            </w:tcMar>
            <w:vAlign w:val="center"/>
            <w:hideMark/>
          </w:tcPr>
          <w:p w14:paraId="79480753" w14:textId="77777777" w:rsidR="00E6476A" w:rsidRPr="009C0CDB" w:rsidRDefault="00E6476A">
            <w:pPr>
              <w:jc w:val="center"/>
            </w:pPr>
            <w:r w:rsidRPr="009C0CDB">
              <w:rPr>
                <w:color w:val="000000"/>
              </w:rPr>
              <w:t>€4.80</w:t>
            </w:r>
          </w:p>
        </w:tc>
        <w:tc>
          <w:tcPr>
            <w:tcW w:w="1126" w:type="dxa"/>
            <w:tcBorders>
              <w:top w:val="nil"/>
              <w:left w:val="nil"/>
              <w:bottom w:val="single" w:sz="8" w:space="0" w:color="BFBFBF"/>
              <w:right w:val="nil"/>
            </w:tcBorders>
            <w:shd w:val="clear" w:color="auto" w:fill="E2EFD9"/>
            <w:tcMar>
              <w:top w:w="0" w:type="dxa"/>
              <w:left w:w="108" w:type="dxa"/>
              <w:bottom w:w="0" w:type="dxa"/>
              <w:right w:w="108" w:type="dxa"/>
            </w:tcMar>
            <w:vAlign w:val="center"/>
            <w:hideMark/>
          </w:tcPr>
          <w:p w14:paraId="5B4E01CC" w14:textId="77777777" w:rsidR="00E6476A" w:rsidRPr="009C0CDB" w:rsidRDefault="00E6476A">
            <w:pPr>
              <w:jc w:val="center"/>
              <w:rPr>
                <w:lang w:eastAsia="en-IE"/>
              </w:rPr>
            </w:pPr>
            <w:r w:rsidRPr="009C0CDB">
              <w:rPr>
                <w:color w:val="000000"/>
              </w:rPr>
              <w:t>€5.30</w:t>
            </w:r>
          </w:p>
        </w:tc>
        <w:tc>
          <w:tcPr>
            <w:tcW w:w="1126" w:type="dxa"/>
            <w:tcBorders>
              <w:top w:val="nil"/>
              <w:left w:val="nil"/>
              <w:bottom w:val="single" w:sz="8" w:space="0" w:color="BFBFBF"/>
              <w:right w:val="single" w:sz="8" w:space="0" w:color="0070C0"/>
            </w:tcBorders>
            <w:shd w:val="clear" w:color="auto" w:fill="E2EFD9"/>
            <w:tcMar>
              <w:top w:w="0" w:type="dxa"/>
              <w:left w:w="108" w:type="dxa"/>
              <w:bottom w:w="0" w:type="dxa"/>
              <w:right w:w="108" w:type="dxa"/>
            </w:tcMar>
            <w:vAlign w:val="center"/>
            <w:hideMark/>
          </w:tcPr>
          <w:p w14:paraId="5AA7D8AF" w14:textId="77777777" w:rsidR="00E6476A" w:rsidRPr="009C0CDB" w:rsidRDefault="00E6476A">
            <w:pPr>
              <w:jc w:val="center"/>
            </w:pPr>
            <w:r w:rsidRPr="009C0CDB">
              <w:rPr>
                <w:color w:val="000000"/>
              </w:rPr>
              <w:t>€5.90</w:t>
            </w:r>
          </w:p>
        </w:tc>
      </w:tr>
      <w:tr w:rsidR="00E6476A" w:rsidRPr="009C0CDB" w14:paraId="6DBB8785" w14:textId="77777777" w:rsidTr="00E6476A">
        <w:trPr>
          <w:trHeight w:val="765"/>
        </w:trPr>
        <w:tc>
          <w:tcPr>
            <w:tcW w:w="3020" w:type="dxa"/>
            <w:tcBorders>
              <w:top w:val="nil"/>
              <w:left w:val="single" w:sz="8" w:space="0" w:color="0070C0"/>
              <w:bottom w:val="single" w:sz="8" w:space="0" w:color="0070C0"/>
              <w:right w:val="single" w:sz="8" w:space="0" w:color="0070C0"/>
            </w:tcBorders>
            <w:shd w:val="clear" w:color="auto" w:fill="FFFFFF"/>
            <w:tcMar>
              <w:top w:w="0" w:type="dxa"/>
              <w:left w:w="108" w:type="dxa"/>
              <w:bottom w:w="0" w:type="dxa"/>
              <w:right w:w="108" w:type="dxa"/>
            </w:tcMar>
            <w:vAlign w:val="center"/>
            <w:hideMark/>
          </w:tcPr>
          <w:p w14:paraId="04FC97B6" w14:textId="77777777" w:rsidR="00E6476A" w:rsidRPr="009C0CDB" w:rsidRDefault="00E6476A">
            <w:r w:rsidRPr="009C0CDB">
              <w:rPr>
                <w:color w:val="000000"/>
              </w:rPr>
              <w:t>Goods Vehicles exceeding 10,000kg &amp; tractor units for an articulated vehicle</w:t>
            </w:r>
          </w:p>
        </w:tc>
        <w:tc>
          <w:tcPr>
            <w:tcW w:w="1126" w:type="dxa"/>
            <w:tcBorders>
              <w:top w:val="nil"/>
              <w:left w:val="nil"/>
              <w:bottom w:val="single" w:sz="8" w:space="0" w:color="BFBFBF"/>
              <w:right w:val="nil"/>
            </w:tcBorders>
            <w:tcMar>
              <w:top w:w="0" w:type="dxa"/>
              <w:left w:w="108" w:type="dxa"/>
              <w:bottom w:w="0" w:type="dxa"/>
              <w:right w:w="108" w:type="dxa"/>
            </w:tcMar>
            <w:vAlign w:val="center"/>
            <w:hideMark/>
          </w:tcPr>
          <w:p w14:paraId="6954CB00" w14:textId="77777777" w:rsidR="00E6476A" w:rsidRPr="009C0CDB" w:rsidRDefault="00E6476A">
            <w:pPr>
              <w:jc w:val="center"/>
            </w:pPr>
            <w:r w:rsidRPr="009C0CDB">
              <w:t>€5.40</w:t>
            </w:r>
          </w:p>
        </w:tc>
        <w:tc>
          <w:tcPr>
            <w:tcW w:w="1126" w:type="dxa"/>
            <w:tcBorders>
              <w:top w:val="nil"/>
              <w:left w:val="nil"/>
              <w:bottom w:val="single" w:sz="8" w:space="0" w:color="BFBFBF"/>
              <w:right w:val="nil"/>
            </w:tcBorders>
            <w:tcMar>
              <w:top w:w="0" w:type="dxa"/>
              <w:left w:w="108" w:type="dxa"/>
              <w:bottom w:w="0" w:type="dxa"/>
              <w:right w:w="108" w:type="dxa"/>
            </w:tcMar>
            <w:vAlign w:val="center"/>
            <w:hideMark/>
          </w:tcPr>
          <w:p w14:paraId="74FCAD71" w14:textId="77777777" w:rsidR="00E6476A" w:rsidRPr="009C0CDB" w:rsidRDefault="00E6476A">
            <w:pPr>
              <w:jc w:val="center"/>
            </w:pPr>
            <w:r w:rsidRPr="009C0CDB">
              <w:t>€6.00</w:t>
            </w:r>
          </w:p>
        </w:tc>
        <w:tc>
          <w:tcPr>
            <w:tcW w:w="1126" w:type="dxa"/>
            <w:tcBorders>
              <w:top w:val="nil"/>
              <w:left w:val="nil"/>
              <w:bottom w:val="single" w:sz="8" w:space="0" w:color="BFBFBF"/>
              <w:right w:val="single" w:sz="8" w:space="0" w:color="0070C0"/>
            </w:tcBorders>
            <w:tcMar>
              <w:top w:w="0" w:type="dxa"/>
              <w:left w:w="108" w:type="dxa"/>
              <w:bottom w:w="0" w:type="dxa"/>
              <w:right w:w="108" w:type="dxa"/>
            </w:tcMar>
            <w:vAlign w:val="center"/>
            <w:hideMark/>
          </w:tcPr>
          <w:p w14:paraId="1C96BE37" w14:textId="77777777" w:rsidR="00E6476A" w:rsidRPr="009C0CDB" w:rsidRDefault="00E6476A">
            <w:pPr>
              <w:jc w:val="center"/>
            </w:pPr>
            <w:r w:rsidRPr="009C0CDB">
              <w:t>€6.50</w:t>
            </w:r>
          </w:p>
        </w:tc>
        <w:tc>
          <w:tcPr>
            <w:tcW w:w="1126" w:type="dxa"/>
            <w:tcBorders>
              <w:top w:val="nil"/>
              <w:left w:val="nil"/>
              <w:bottom w:val="single" w:sz="8" w:space="0" w:color="0070C0"/>
              <w:right w:val="nil"/>
            </w:tcBorders>
            <w:shd w:val="clear" w:color="auto" w:fill="E2EFD9"/>
            <w:tcMar>
              <w:top w:w="0" w:type="dxa"/>
              <w:left w:w="108" w:type="dxa"/>
              <w:bottom w:w="0" w:type="dxa"/>
              <w:right w:w="108" w:type="dxa"/>
            </w:tcMar>
            <w:vAlign w:val="center"/>
            <w:hideMark/>
          </w:tcPr>
          <w:p w14:paraId="5E0C08B0" w14:textId="77777777" w:rsidR="00E6476A" w:rsidRPr="009C0CDB" w:rsidRDefault="00E6476A">
            <w:pPr>
              <w:jc w:val="center"/>
            </w:pPr>
            <w:r w:rsidRPr="009C0CDB">
              <w:rPr>
                <w:color w:val="000000"/>
              </w:rPr>
              <w:t>€5.90</w:t>
            </w:r>
          </w:p>
        </w:tc>
        <w:tc>
          <w:tcPr>
            <w:tcW w:w="1126" w:type="dxa"/>
            <w:tcBorders>
              <w:top w:val="nil"/>
              <w:left w:val="nil"/>
              <w:bottom w:val="single" w:sz="8" w:space="0" w:color="0070C0"/>
              <w:right w:val="nil"/>
            </w:tcBorders>
            <w:shd w:val="clear" w:color="auto" w:fill="E2EFD9"/>
            <w:tcMar>
              <w:top w:w="0" w:type="dxa"/>
              <w:left w:w="108" w:type="dxa"/>
              <w:bottom w:w="0" w:type="dxa"/>
              <w:right w:w="108" w:type="dxa"/>
            </w:tcMar>
            <w:vAlign w:val="center"/>
            <w:hideMark/>
          </w:tcPr>
          <w:p w14:paraId="0EB6376F" w14:textId="77777777" w:rsidR="00E6476A" w:rsidRPr="009C0CDB" w:rsidRDefault="00E6476A">
            <w:pPr>
              <w:jc w:val="center"/>
              <w:rPr>
                <w:lang w:eastAsia="en-IE"/>
              </w:rPr>
            </w:pPr>
            <w:r w:rsidRPr="009C0CDB">
              <w:rPr>
                <w:color w:val="000000"/>
              </w:rPr>
              <w:t>€6.50</w:t>
            </w:r>
          </w:p>
        </w:tc>
        <w:tc>
          <w:tcPr>
            <w:tcW w:w="1126" w:type="dxa"/>
            <w:tcBorders>
              <w:top w:val="nil"/>
              <w:left w:val="nil"/>
              <w:bottom w:val="single" w:sz="8" w:space="0" w:color="0070C0"/>
              <w:right w:val="single" w:sz="8" w:space="0" w:color="0070C0"/>
            </w:tcBorders>
            <w:shd w:val="clear" w:color="auto" w:fill="E2EFD9"/>
            <w:tcMar>
              <w:top w:w="0" w:type="dxa"/>
              <w:left w:w="108" w:type="dxa"/>
              <w:bottom w:w="0" w:type="dxa"/>
              <w:right w:w="108" w:type="dxa"/>
            </w:tcMar>
            <w:vAlign w:val="center"/>
            <w:hideMark/>
          </w:tcPr>
          <w:p w14:paraId="7F795B96" w14:textId="77777777" w:rsidR="00E6476A" w:rsidRPr="009C0CDB" w:rsidRDefault="00E6476A">
            <w:pPr>
              <w:jc w:val="center"/>
            </w:pPr>
            <w:r w:rsidRPr="009C0CDB">
              <w:rPr>
                <w:color w:val="000000"/>
              </w:rPr>
              <w:t>€7.10</w:t>
            </w:r>
          </w:p>
        </w:tc>
      </w:tr>
    </w:tbl>
    <w:p w14:paraId="6283ACA7" w14:textId="77777777" w:rsidR="009B6F55" w:rsidRDefault="009B6F55" w:rsidP="00E6476A">
      <w:pPr>
        <w:spacing w:after="120"/>
        <w:jc w:val="both"/>
      </w:pPr>
    </w:p>
    <w:p w14:paraId="2C287170" w14:textId="2D38903D" w:rsidR="00B34910" w:rsidRPr="00B34910" w:rsidRDefault="00B34910" w:rsidP="009B6F55">
      <w:pPr>
        <w:pStyle w:val="QANormal"/>
        <w:spacing w:after="160" w:line="252" w:lineRule="auto"/>
        <w:rPr>
          <w:b/>
          <w:bCs/>
        </w:rPr>
      </w:pPr>
      <w:r w:rsidRPr="00B34910">
        <w:rPr>
          <w:b/>
          <w:bCs/>
        </w:rPr>
        <w:t>The Public Private Tolling Operations (PPP)</w:t>
      </w:r>
      <w:r>
        <w:rPr>
          <w:b/>
          <w:bCs/>
        </w:rPr>
        <w:t xml:space="preserve">: There are </w:t>
      </w:r>
      <w:r w:rsidR="00D0015E">
        <w:rPr>
          <w:b/>
          <w:bCs/>
        </w:rPr>
        <w:t>eight</w:t>
      </w:r>
      <w:r>
        <w:rPr>
          <w:b/>
          <w:bCs/>
        </w:rPr>
        <w:t xml:space="preserve"> PPP tolls throughout country.</w:t>
      </w:r>
    </w:p>
    <w:p w14:paraId="7E0D1007" w14:textId="167F4937" w:rsidR="009B6F55" w:rsidRDefault="009B6F55" w:rsidP="009B6F55">
      <w:pPr>
        <w:pStyle w:val="QANormal"/>
        <w:spacing w:after="160" w:line="252" w:lineRule="auto"/>
      </w:pPr>
      <w:r w:rsidRPr="009C0CDB">
        <w:t xml:space="preserve">The PPP companies have submitted their toll charge calculations as part of their Annual Toll Plans. TII have reviewed these submissions and concur with the Maximum Toll charges calculated. Table 7 sets out the calculated 2023 Maximum Toll charges for the 8 PPP Concession schemes. The toll charges include VAT @23%. All PPP companies have proposed setting their 2023 Appropriate Tolls at the 2023 Maximum Tolls. The CPI increased by 8.6% between August 2021 and August 2022 and this has resulted in increased tolls on all PPP schemes. (As can be seen from the annual change in Appropriate Tolls between 2013 and 2022 across the 8 PPP Concessions, there have been minimal increases in tolls in the last decade apart from 2022.) </w:t>
      </w:r>
    </w:p>
    <w:p w14:paraId="510A99D9" w14:textId="6EFC5CDE" w:rsidR="00E6476A" w:rsidRPr="009C0CDB" w:rsidRDefault="00E6476A" w:rsidP="00E6476A">
      <w:pPr>
        <w:spacing w:after="120"/>
        <w:jc w:val="both"/>
      </w:pPr>
      <w:r w:rsidRPr="009C0CDB">
        <w:t xml:space="preserve">The </w:t>
      </w:r>
      <w:proofErr w:type="gramStart"/>
      <w:r w:rsidRPr="009C0CDB">
        <w:t>Bye-Laws</w:t>
      </w:r>
      <w:proofErr w:type="gramEnd"/>
      <w:r w:rsidRPr="009C0CDB">
        <w:t xml:space="preserve"> for the different PPP toll roads (or concessions) typically provide that:</w:t>
      </w:r>
    </w:p>
    <w:tbl>
      <w:tblPr>
        <w:tblW w:w="8944" w:type="dxa"/>
        <w:jc w:val="center"/>
        <w:tblCellMar>
          <w:left w:w="0" w:type="dxa"/>
          <w:right w:w="0" w:type="dxa"/>
        </w:tblCellMar>
        <w:tblLook w:val="04A0" w:firstRow="1" w:lastRow="0" w:firstColumn="1" w:lastColumn="0" w:noHBand="0" w:noVBand="1"/>
      </w:tblPr>
      <w:tblGrid>
        <w:gridCol w:w="8944"/>
      </w:tblGrid>
      <w:tr w:rsidR="009B6F55" w:rsidRPr="009B6F55" w14:paraId="5A7B8F52" w14:textId="77777777" w:rsidTr="009B6F55">
        <w:trPr>
          <w:trHeight w:val="243"/>
          <w:jc w:val="center"/>
        </w:trPr>
        <w:tc>
          <w:tcPr>
            <w:tcW w:w="8944" w:type="dxa"/>
            <w:shd w:val="clear" w:color="auto" w:fill="D9D9D9"/>
            <w:tcMar>
              <w:top w:w="0" w:type="dxa"/>
              <w:left w:w="108" w:type="dxa"/>
              <w:bottom w:w="0" w:type="dxa"/>
              <w:right w:w="108" w:type="dxa"/>
            </w:tcMar>
            <w:hideMark/>
          </w:tcPr>
          <w:p w14:paraId="1EBCFB9E" w14:textId="77777777" w:rsidR="00E6476A" w:rsidRPr="009B6F55" w:rsidRDefault="00E6476A" w:rsidP="000C0095">
            <w:pPr>
              <w:spacing w:before="60" w:after="120"/>
              <w:rPr>
                <w:color w:val="000000" w:themeColor="text1"/>
              </w:rPr>
            </w:pPr>
            <w:r w:rsidRPr="009B6F55">
              <w:rPr>
                <w:color w:val="000000" w:themeColor="text1"/>
              </w:rPr>
              <w:t xml:space="preserve">The </w:t>
            </w:r>
            <w:r w:rsidRPr="009B6F55">
              <w:rPr>
                <w:b/>
                <w:bCs/>
                <w:color w:val="000000" w:themeColor="text1"/>
              </w:rPr>
              <w:t>Maximum Tolls</w:t>
            </w:r>
            <w:r w:rsidRPr="009B6F55">
              <w:rPr>
                <w:color w:val="000000" w:themeColor="text1"/>
              </w:rPr>
              <w:t xml:space="preserve"> for each Toll Year shall be the aggregate of:</w:t>
            </w:r>
          </w:p>
          <w:p w14:paraId="530D9172" w14:textId="77777777" w:rsidR="00E6476A" w:rsidRPr="009B6F55" w:rsidRDefault="00E6476A">
            <w:pPr>
              <w:ind w:left="1425" w:hanging="720"/>
              <w:jc w:val="both"/>
              <w:rPr>
                <w:color w:val="000000" w:themeColor="text1"/>
              </w:rPr>
            </w:pPr>
            <w:r w:rsidRPr="009B6F55">
              <w:rPr>
                <w:color w:val="000000" w:themeColor="text1"/>
              </w:rPr>
              <w:t>(a)          the Base Tolls multiplied by the Consumer Price Index for August in the previous year, on a [November 1996 base year of 100], divided by the Opening Index, and</w:t>
            </w:r>
          </w:p>
          <w:p w14:paraId="4A91B355" w14:textId="77777777" w:rsidR="00E6476A" w:rsidRPr="009B6F55" w:rsidRDefault="00E6476A" w:rsidP="009B6F55">
            <w:pPr>
              <w:ind w:left="1440" w:hanging="720"/>
              <w:rPr>
                <w:color w:val="000000" w:themeColor="text1"/>
              </w:rPr>
            </w:pPr>
            <w:r w:rsidRPr="009B6F55">
              <w:rPr>
                <w:color w:val="000000" w:themeColor="text1"/>
              </w:rPr>
              <w:t>(b)          VAT at the prevailing rate on the amount derived pursuant to subparagraph (a)</w:t>
            </w:r>
          </w:p>
          <w:p w14:paraId="52999374" w14:textId="77777777" w:rsidR="00E6476A" w:rsidRPr="009B6F55" w:rsidRDefault="00E6476A">
            <w:pPr>
              <w:shd w:val="clear" w:color="auto" w:fill="D9D9D9"/>
              <w:spacing w:before="60" w:after="120"/>
              <w:jc w:val="both"/>
              <w:rPr>
                <w:color w:val="000000" w:themeColor="text1"/>
              </w:rPr>
            </w:pPr>
            <w:r w:rsidRPr="009B6F55">
              <w:rPr>
                <w:color w:val="000000" w:themeColor="text1"/>
              </w:rPr>
              <w:t>and the resulting amount shall be rounded to the nearest 10 cent.”</w:t>
            </w:r>
          </w:p>
          <w:p w14:paraId="68BA9F3B" w14:textId="77777777" w:rsidR="00E6476A" w:rsidRPr="009B6F55" w:rsidRDefault="00E6476A">
            <w:pPr>
              <w:shd w:val="clear" w:color="auto" w:fill="D9D9D9"/>
              <w:spacing w:after="60"/>
              <w:jc w:val="both"/>
              <w:rPr>
                <w:color w:val="000000" w:themeColor="text1"/>
              </w:rPr>
            </w:pPr>
            <w:bookmarkStart w:id="1" w:name="_Hlk84855311"/>
            <w:r w:rsidRPr="009B6F55">
              <w:rPr>
                <w:color w:val="000000" w:themeColor="text1"/>
              </w:rPr>
              <w:t xml:space="preserve">The </w:t>
            </w:r>
            <w:r w:rsidRPr="009B6F55">
              <w:rPr>
                <w:b/>
                <w:bCs/>
                <w:color w:val="000000" w:themeColor="text1"/>
              </w:rPr>
              <w:t>Appropriate Tolls</w:t>
            </w:r>
            <w:r w:rsidRPr="009B6F55">
              <w:rPr>
                <w:color w:val="000000" w:themeColor="text1"/>
              </w:rPr>
              <w:t xml:space="preserve"> are the tolls chargeable by the Toll Company as agreed with the NRA (inclusive of indexation, VAT and rounding) provided that such Appropriate Tolls shall not exceed the Maximum Tolls.</w:t>
            </w:r>
            <w:bookmarkEnd w:id="1"/>
          </w:p>
        </w:tc>
      </w:tr>
    </w:tbl>
    <w:p w14:paraId="12625A08" w14:textId="77777777" w:rsidR="009B6F55" w:rsidRDefault="009B6F55" w:rsidP="009C0CDB">
      <w:pPr>
        <w:pStyle w:val="QANormal"/>
        <w:spacing w:after="160" w:line="252" w:lineRule="auto"/>
        <w:rPr>
          <w:b/>
          <w:bCs/>
          <w:color w:val="002060"/>
        </w:rPr>
      </w:pPr>
    </w:p>
    <w:p w14:paraId="539A0098" w14:textId="0ADB61DD" w:rsidR="009C0CDB" w:rsidRDefault="009C0CDB" w:rsidP="009C0CDB">
      <w:pPr>
        <w:pStyle w:val="QANormal"/>
        <w:spacing w:after="160" w:line="252" w:lineRule="auto"/>
      </w:pPr>
      <w:r w:rsidRPr="009C0CDB">
        <w:rPr>
          <w:b/>
          <w:bCs/>
          <w:color w:val="002060"/>
        </w:rPr>
        <w:t xml:space="preserve">Table </w:t>
      </w:r>
      <w:proofErr w:type="gramStart"/>
      <w:r w:rsidRPr="009C0CDB">
        <w:rPr>
          <w:b/>
          <w:bCs/>
          <w:color w:val="002060"/>
        </w:rPr>
        <w:t xml:space="preserve">7  </w:t>
      </w:r>
      <w:r w:rsidRPr="009C0CDB">
        <w:rPr>
          <w:i/>
          <w:iCs/>
          <w:color w:val="002060"/>
        </w:rPr>
        <w:t>PPP</w:t>
      </w:r>
      <w:proofErr w:type="gramEnd"/>
      <w:r w:rsidRPr="009C0CDB">
        <w:rPr>
          <w:i/>
          <w:iCs/>
          <w:color w:val="002060"/>
        </w:rPr>
        <w:t xml:space="preserve"> Concession Maximum Tolls/Appropriate Tolls</w:t>
      </w:r>
    </w:p>
    <w:p w14:paraId="09E79F92" w14:textId="59B1CFBA" w:rsidR="009C0CDB" w:rsidRPr="009C0CDB" w:rsidRDefault="009C0CDB" w:rsidP="009C0CDB">
      <w:pPr>
        <w:keepNext/>
        <w:jc w:val="both"/>
        <w:rPr>
          <w:b/>
          <w:bCs/>
          <w:color w:val="002060"/>
        </w:rPr>
      </w:pPr>
    </w:p>
    <w:tbl>
      <w:tblPr>
        <w:tblpPr w:leftFromText="180" w:rightFromText="180" w:vertAnchor="page" w:horzAnchor="margin" w:tblpY="591"/>
        <w:tblW w:w="9771" w:type="dxa"/>
        <w:tblCellMar>
          <w:left w:w="0" w:type="dxa"/>
          <w:right w:w="0" w:type="dxa"/>
        </w:tblCellMar>
        <w:tblLook w:val="04A0" w:firstRow="1" w:lastRow="0" w:firstColumn="1" w:lastColumn="0" w:noHBand="0" w:noVBand="1"/>
      </w:tblPr>
      <w:tblGrid>
        <w:gridCol w:w="2960"/>
        <w:gridCol w:w="3405"/>
        <w:gridCol w:w="3406"/>
      </w:tblGrid>
      <w:tr w:rsidR="00BB1902" w:rsidRPr="009C0CDB" w14:paraId="35B44637" w14:textId="77777777" w:rsidTr="00BB1902">
        <w:trPr>
          <w:trHeight w:val="525"/>
        </w:trPr>
        <w:tc>
          <w:tcPr>
            <w:tcW w:w="2960" w:type="dxa"/>
            <w:tcBorders>
              <w:top w:val="nil"/>
              <w:left w:val="single" w:sz="8" w:space="0" w:color="0070C0"/>
              <w:bottom w:val="nil"/>
              <w:right w:val="nil"/>
            </w:tcBorders>
            <w:shd w:val="clear" w:color="auto" w:fill="0070C0"/>
            <w:tcMar>
              <w:top w:w="0" w:type="dxa"/>
              <w:left w:w="108" w:type="dxa"/>
              <w:bottom w:w="0" w:type="dxa"/>
              <w:right w:w="108" w:type="dxa"/>
            </w:tcMar>
            <w:vAlign w:val="center"/>
            <w:hideMark/>
          </w:tcPr>
          <w:p w14:paraId="23E5690A" w14:textId="77777777" w:rsidR="00BB1902" w:rsidRPr="009C0CDB" w:rsidRDefault="00BB1902" w:rsidP="00BB1902">
            <w:pPr>
              <w:rPr>
                <w:b/>
                <w:bCs/>
                <w:color w:val="FFFFFF"/>
              </w:rPr>
            </w:pPr>
            <w:r w:rsidRPr="009C0CDB">
              <w:rPr>
                <w:b/>
                <w:bCs/>
                <w:color w:val="FFFFFF"/>
              </w:rPr>
              <w:t>Vehicle Class</w:t>
            </w:r>
          </w:p>
        </w:tc>
        <w:tc>
          <w:tcPr>
            <w:tcW w:w="3405" w:type="dxa"/>
            <w:shd w:val="clear" w:color="auto" w:fill="0070C0"/>
            <w:tcMar>
              <w:top w:w="0" w:type="dxa"/>
              <w:left w:w="108" w:type="dxa"/>
              <w:bottom w:w="0" w:type="dxa"/>
              <w:right w:w="108" w:type="dxa"/>
            </w:tcMar>
            <w:vAlign w:val="center"/>
            <w:hideMark/>
          </w:tcPr>
          <w:p w14:paraId="32FB76E8" w14:textId="77777777" w:rsidR="00BB1902" w:rsidRPr="009C0CDB" w:rsidRDefault="00BB1902" w:rsidP="00BB1902">
            <w:pPr>
              <w:jc w:val="center"/>
              <w:rPr>
                <w:b/>
                <w:bCs/>
                <w:color w:val="FFFFFF"/>
              </w:rPr>
            </w:pPr>
            <w:r w:rsidRPr="009C0CDB">
              <w:rPr>
                <w:b/>
                <w:bCs/>
                <w:color w:val="FFFFFF"/>
              </w:rPr>
              <w:t xml:space="preserve">2022 Maximum Tolls/ </w:t>
            </w:r>
          </w:p>
          <w:p w14:paraId="740D66B0" w14:textId="77777777" w:rsidR="00BB1902" w:rsidRPr="009C0CDB" w:rsidRDefault="00BB1902" w:rsidP="00BB1902">
            <w:pPr>
              <w:jc w:val="center"/>
              <w:rPr>
                <w:b/>
                <w:bCs/>
                <w:color w:val="FFFFFF"/>
              </w:rPr>
            </w:pPr>
            <w:r w:rsidRPr="009C0CDB">
              <w:rPr>
                <w:b/>
                <w:bCs/>
                <w:color w:val="FFFFFF"/>
              </w:rPr>
              <w:t>Appropriate Tolls</w:t>
            </w:r>
          </w:p>
        </w:tc>
        <w:tc>
          <w:tcPr>
            <w:tcW w:w="3406" w:type="dxa"/>
            <w:tcBorders>
              <w:top w:val="nil"/>
              <w:left w:val="nil"/>
              <w:bottom w:val="nil"/>
              <w:right w:val="single" w:sz="8" w:space="0" w:color="0070C0"/>
            </w:tcBorders>
            <w:shd w:val="clear" w:color="auto" w:fill="0070C0"/>
            <w:tcMar>
              <w:top w:w="0" w:type="dxa"/>
              <w:left w:w="108" w:type="dxa"/>
              <w:bottom w:w="0" w:type="dxa"/>
              <w:right w:w="108" w:type="dxa"/>
            </w:tcMar>
            <w:vAlign w:val="center"/>
            <w:hideMark/>
          </w:tcPr>
          <w:p w14:paraId="412967EC" w14:textId="77777777" w:rsidR="00BB1902" w:rsidRPr="009C0CDB" w:rsidRDefault="00BB1902" w:rsidP="00BB1902">
            <w:pPr>
              <w:jc w:val="center"/>
              <w:rPr>
                <w:b/>
                <w:bCs/>
                <w:color w:val="FFFFFF"/>
              </w:rPr>
            </w:pPr>
            <w:r w:rsidRPr="009C0CDB">
              <w:rPr>
                <w:b/>
                <w:bCs/>
                <w:color w:val="FFFFFF"/>
              </w:rPr>
              <w:t xml:space="preserve">2023 Maximum Tolls/ </w:t>
            </w:r>
          </w:p>
          <w:p w14:paraId="6C84977B" w14:textId="77777777" w:rsidR="00BB1902" w:rsidRPr="009C0CDB" w:rsidRDefault="00BB1902" w:rsidP="00BB1902">
            <w:pPr>
              <w:jc w:val="center"/>
              <w:rPr>
                <w:b/>
                <w:bCs/>
                <w:color w:val="FFFFFF"/>
              </w:rPr>
            </w:pPr>
            <w:r w:rsidRPr="009C0CDB">
              <w:rPr>
                <w:b/>
                <w:bCs/>
                <w:color w:val="FFFFFF"/>
              </w:rPr>
              <w:t>Appropriate Tolls</w:t>
            </w:r>
          </w:p>
        </w:tc>
      </w:tr>
      <w:tr w:rsidR="00BB1902" w:rsidRPr="009C0CDB" w14:paraId="01767EE2" w14:textId="77777777" w:rsidTr="00BB1902">
        <w:trPr>
          <w:trHeight w:val="255"/>
        </w:trPr>
        <w:tc>
          <w:tcPr>
            <w:tcW w:w="2960" w:type="dxa"/>
            <w:tcBorders>
              <w:top w:val="nil"/>
              <w:left w:val="single" w:sz="8" w:space="0" w:color="0070C0"/>
              <w:bottom w:val="nil"/>
              <w:right w:val="nil"/>
            </w:tcBorders>
            <w:shd w:val="clear" w:color="auto" w:fill="D9D9D9"/>
            <w:tcMar>
              <w:top w:w="0" w:type="dxa"/>
              <w:left w:w="108" w:type="dxa"/>
              <w:bottom w:w="0" w:type="dxa"/>
              <w:right w:w="108" w:type="dxa"/>
            </w:tcMar>
            <w:vAlign w:val="center"/>
            <w:hideMark/>
          </w:tcPr>
          <w:p w14:paraId="5FF6819F" w14:textId="77777777" w:rsidR="00BB1902" w:rsidRPr="009C0CDB" w:rsidRDefault="00BB1902" w:rsidP="00BB1902">
            <w:r w:rsidRPr="009C0CDB">
              <w:rPr>
                <w:color w:val="000000"/>
              </w:rPr>
              <w:t> </w:t>
            </w:r>
          </w:p>
        </w:tc>
        <w:tc>
          <w:tcPr>
            <w:tcW w:w="6811" w:type="dxa"/>
            <w:gridSpan w:val="2"/>
            <w:tcBorders>
              <w:top w:val="nil"/>
              <w:left w:val="single" w:sz="8" w:space="0" w:color="0070C0"/>
              <w:bottom w:val="nil"/>
              <w:right w:val="single" w:sz="8" w:space="0" w:color="0070C0"/>
            </w:tcBorders>
            <w:shd w:val="clear" w:color="auto" w:fill="D9D9D9"/>
            <w:tcMar>
              <w:top w:w="0" w:type="dxa"/>
              <w:left w:w="108" w:type="dxa"/>
              <w:bottom w:w="0" w:type="dxa"/>
              <w:right w:w="108" w:type="dxa"/>
            </w:tcMar>
            <w:vAlign w:val="center"/>
            <w:hideMark/>
          </w:tcPr>
          <w:p w14:paraId="0ED7A235" w14:textId="77777777" w:rsidR="00BB1902" w:rsidRPr="009C0CDB" w:rsidRDefault="00BB1902" w:rsidP="00BB1902">
            <w:pPr>
              <w:jc w:val="center"/>
              <w:rPr>
                <w:b/>
                <w:bCs/>
                <w:color w:val="002060"/>
              </w:rPr>
            </w:pPr>
            <w:r w:rsidRPr="009C0CDB">
              <w:rPr>
                <w:b/>
                <w:bCs/>
                <w:color w:val="002060"/>
              </w:rPr>
              <w:t>PPP Concession:  M1, M7/M8, M8, N6, N25WF, N18-LT</w:t>
            </w:r>
          </w:p>
        </w:tc>
      </w:tr>
      <w:tr w:rsidR="00BB1902" w:rsidRPr="009C0CDB" w14:paraId="4AE87D51" w14:textId="77777777" w:rsidTr="00BB1902">
        <w:trPr>
          <w:trHeight w:val="255"/>
        </w:trPr>
        <w:tc>
          <w:tcPr>
            <w:tcW w:w="2960" w:type="dxa"/>
            <w:tcBorders>
              <w:top w:val="nil"/>
              <w:left w:val="single" w:sz="8" w:space="0" w:color="0070C0"/>
              <w:bottom w:val="nil"/>
              <w:right w:val="nil"/>
            </w:tcBorders>
            <w:tcMar>
              <w:top w:w="0" w:type="dxa"/>
              <w:left w:w="108" w:type="dxa"/>
              <w:bottom w:w="0" w:type="dxa"/>
              <w:right w:w="108" w:type="dxa"/>
            </w:tcMar>
            <w:vAlign w:val="center"/>
            <w:hideMark/>
          </w:tcPr>
          <w:p w14:paraId="39EE5D59" w14:textId="77777777" w:rsidR="00BB1902" w:rsidRPr="009C0CDB" w:rsidRDefault="00BB1902" w:rsidP="00BB1902">
            <w:pPr>
              <w:rPr>
                <w:b/>
                <w:bCs/>
              </w:rPr>
            </w:pPr>
            <w:r w:rsidRPr="009C0CDB">
              <w:rPr>
                <w:b/>
                <w:bCs/>
              </w:rPr>
              <w:t>Motorcycle</w:t>
            </w:r>
          </w:p>
        </w:tc>
        <w:tc>
          <w:tcPr>
            <w:tcW w:w="3405" w:type="dxa"/>
            <w:tcBorders>
              <w:top w:val="nil"/>
              <w:left w:val="single" w:sz="8" w:space="0" w:color="0070C0"/>
              <w:bottom w:val="nil"/>
              <w:right w:val="single" w:sz="8" w:space="0" w:color="BFBFBF"/>
            </w:tcBorders>
            <w:tcMar>
              <w:top w:w="0" w:type="dxa"/>
              <w:left w:w="108" w:type="dxa"/>
              <w:bottom w:w="0" w:type="dxa"/>
              <w:right w:w="108" w:type="dxa"/>
            </w:tcMar>
            <w:vAlign w:val="center"/>
            <w:hideMark/>
          </w:tcPr>
          <w:p w14:paraId="087FF07C" w14:textId="77777777" w:rsidR="00BB1902" w:rsidRPr="009C0CDB" w:rsidRDefault="00BB1902" w:rsidP="00BB1902">
            <w:pPr>
              <w:jc w:val="center"/>
            </w:pPr>
            <w:r w:rsidRPr="009C0CDB">
              <w:t>€1.00</w:t>
            </w:r>
          </w:p>
        </w:tc>
        <w:tc>
          <w:tcPr>
            <w:tcW w:w="3406" w:type="dxa"/>
            <w:tcBorders>
              <w:top w:val="nil"/>
              <w:left w:val="nil"/>
              <w:bottom w:val="nil"/>
              <w:right w:val="single" w:sz="8" w:space="0" w:color="0070C0"/>
            </w:tcBorders>
            <w:shd w:val="clear" w:color="auto" w:fill="E2EFD9"/>
            <w:tcMar>
              <w:top w:w="0" w:type="dxa"/>
              <w:left w:w="108" w:type="dxa"/>
              <w:bottom w:w="0" w:type="dxa"/>
              <w:right w:w="108" w:type="dxa"/>
            </w:tcMar>
            <w:vAlign w:val="center"/>
            <w:hideMark/>
          </w:tcPr>
          <w:p w14:paraId="2F397920" w14:textId="77777777" w:rsidR="00BB1902" w:rsidRPr="009C0CDB" w:rsidRDefault="00BB1902" w:rsidP="00BB1902">
            <w:pPr>
              <w:jc w:val="center"/>
            </w:pPr>
            <w:r w:rsidRPr="009C0CDB">
              <w:rPr>
                <w:color w:val="000000"/>
              </w:rPr>
              <w:t>€1.10</w:t>
            </w:r>
          </w:p>
        </w:tc>
      </w:tr>
      <w:tr w:rsidR="00BB1902" w:rsidRPr="009C0CDB" w14:paraId="7E59084F" w14:textId="77777777" w:rsidTr="00BB1902">
        <w:trPr>
          <w:trHeight w:val="255"/>
        </w:trPr>
        <w:tc>
          <w:tcPr>
            <w:tcW w:w="2960" w:type="dxa"/>
            <w:tcBorders>
              <w:top w:val="nil"/>
              <w:left w:val="single" w:sz="8" w:space="0" w:color="0070C0"/>
              <w:bottom w:val="nil"/>
              <w:right w:val="nil"/>
            </w:tcBorders>
            <w:tcMar>
              <w:top w:w="0" w:type="dxa"/>
              <w:left w:w="108" w:type="dxa"/>
              <w:bottom w:w="0" w:type="dxa"/>
              <w:right w:w="108" w:type="dxa"/>
            </w:tcMar>
            <w:vAlign w:val="center"/>
            <w:hideMark/>
          </w:tcPr>
          <w:p w14:paraId="541C6B36" w14:textId="77777777" w:rsidR="00BB1902" w:rsidRPr="009C0CDB" w:rsidRDefault="00BB1902" w:rsidP="00BB1902">
            <w:pPr>
              <w:rPr>
                <w:b/>
                <w:bCs/>
              </w:rPr>
            </w:pPr>
            <w:r w:rsidRPr="009C0CDB">
              <w:rPr>
                <w:b/>
                <w:bCs/>
              </w:rPr>
              <w:t>Car</w:t>
            </w:r>
          </w:p>
        </w:tc>
        <w:tc>
          <w:tcPr>
            <w:tcW w:w="3405" w:type="dxa"/>
            <w:tcBorders>
              <w:top w:val="nil"/>
              <w:left w:val="single" w:sz="8" w:space="0" w:color="0070C0"/>
              <w:bottom w:val="nil"/>
              <w:right w:val="single" w:sz="8" w:space="0" w:color="BFBFBF"/>
            </w:tcBorders>
            <w:tcMar>
              <w:top w:w="0" w:type="dxa"/>
              <w:left w:w="108" w:type="dxa"/>
              <w:bottom w:w="0" w:type="dxa"/>
              <w:right w:w="108" w:type="dxa"/>
            </w:tcMar>
            <w:vAlign w:val="center"/>
            <w:hideMark/>
          </w:tcPr>
          <w:p w14:paraId="6149C7D6" w14:textId="77777777" w:rsidR="00BB1902" w:rsidRPr="009C0CDB" w:rsidRDefault="00BB1902" w:rsidP="00BB1902">
            <w:pPr>
              <w:jc w:val="center"/>
            </w:pPr>
            <w:r w:rsidRPr="009C0CDB">
              <w:t>€2.00</w:t>
            </w:r>
          </w:p>
        </w:tc>
        <w:tc>
          <w:tcPr>
            <w:tcW w:w="3406" w:type="dxa"/>
            <w:tcBorders>
              <w:top w:val="nil"/>
              <w:left w:val="nil"/>
              <w:bottom w:val="nil"/>
              <w:right w:val="single" w:sz="8" w:space="0" w:color="0070C0"/>
            </w:tcBorders>
            <w:shd w:val="clear" w:color="auto" w:fill="E2EFD9"/>
            <w:tcMar>
              <w:top w:w="0" w:type="dxa"/>
              <w:left w:w="108" w:type="dxa"/>
              <w:bottom w:w="0" w:type="dxa"/>
              <w:right w:w="108" w:type="dxa"/>
            </w:tcMar>
            <w:vAlign w:val="center"/>
            <w:hideMark/>
          </w:tcPr>
          <w:p w14:paraId="6684590C" w14:textId="77777777" w:rsidR="00BB1902" w:rsidRPr="009C0CDB" w:rsidRDefault="00BB1902" w:rsidP="00BB1902">
            <w:pPr>
              <w:jc w:val="center"/>
            </w:pPr>
            <w:r w:rsidRPr="009C0CDB">
              <w:rPr>
                <w:color w:val="000000"/>
              </w:rPr>
              <w:t>€2.10</w:t>
            </w:r>
          </w:p>
        </w:tc>
      </w:tr>
      <w:tr w:rsidR="00BB1902" w:rsidRPr="009C0CDB" w14:paraId="52248BCC" w14:textId="77777777" w:rsidTr="00BB1902">
        <w:trPr>
          <w:trHeight w:val="255"/>
        </w:trPr>
        <w:tc>
          <w:tcPr>
            <w:tcW w:w="2960" w:type="dxa"/>
            <w:tcBorders>
              <w:top w:val="nil"/>
              <w:left w:val="single" w:sz="8" w:space="0" w:color="0070C0"/>
              <w:bottom w:val="nil"/>
              <w:right w:val="nil"/>
            </w:tcBorders>
            <w:tcMar>
              <w:top w:w="0" w:type="dxa"/>
              <w:left w:w="108" w:type="dxa"/>
              <w:bottom w:w="0" w:type="dxa"/>
              <w:right w:w="108" w:type="dxa"/>
            </w:tcMar>
            <w:vAlign w:val="center"/>
            <w:hideMark/>
          </w:tcPr>
          <w:p w14:paraId="38A0AE91" w14:textId="77777777" w:rsidR="00BB1902" w:rsidRPr="009C0CDB" w:rsidRDefault="00BB1902" w:rsidP="00BB1902">
            <w:pPr>
              <w:rPr>
                <w:b/>
                <w:bCs/>
              </w:rPr>
            </w:pPr>
            <w:r w:rsidRPr="009C0CDB">
              <w:rPr>
                <w:b/>
                <w:bCs/>
              </w:rPr>
              <w:t>Bus</w:t>
            </w:r>
          </w:p>
        </w:tc>
        <w:tc>
          <w:tcPr>
            <w:tcW w:w="3405" w:type="dxa"/>
            <w:tcBorders>
              <w:top w:val="nil"/>
              <w:left w:val="single" w:sz="8" w:space="0" w:color="0070C0"/>
              <w:bottom w:val="nil"/>
              <w:right w:val="single" w:sz="8" w:space="0" w:color="BFBFBF"/>
            </w:tcBorders>
            <w:tcMar>
              <w:top w:w="0" w:type="dxa"/>
              <w:left w:w="108" w:type="dxa"/>
              <w:bottom w:w="0" w:type="dxa"/>
              <w:right w:w="108" w:type="dxa"/>
            </w:tcMar>
            <w:vAlign w:val="center"/>
            <w:hideMark/>
          </w:tcPr>
          <w:p w14:paraId="0755D1DD" w14:textId="77777777" w:rsidR="00BB1902" w:rsidRPr="009C0CDB" w:rsidRDefault="00BB1902" w:rsidP="00BB1902">
            <w:pPr>
              <w:jc w:val="center"/>
            </w:pPr>
            <w:r w:rsidRPr="009C0CDB">
              <w:t>€3.50</w:t>
            </w:r>
          </w:p>
        </w:tc>
        <w:tc>
          <w:tcPr>
            <w:tcW w:w="3406" w:type="dxa"/>
            <w:tcBorders>
              <w:top w:val="nil"/>
              <w:left w:val="nil"/>
              <w:bottom w:val="nil"/>
              <w:right w:val="single" w:sz="8" w:space="0" w:color="0070C0"/>
            </w:tcBorders>
            <w:shd w:val="clear" w:color="auto" w:fill="E2EFD9"/>
            <w:tcMar>
              <w:top w:w="0" w:type="dxa"/>
              <w:left w:w="108" w:type="dxa"/>
              <w:bottom w:w="0" w:type="dxa"/>
              <w:right w:w="108" w:type="dxa"/>
            </w:tcMar>
            <w:vAlign w:val="center"/>
            <w:hideMark/>
          </w:tcPr>
          <w:p w14:paraId="0260AEF5" w14:textId="77777777" w:rsidR="00BB1902" w:rsidRPr="009C0CDB" w:rsidRDefault="00BB1902" w:rsidP="00BB1902">
            <w:pPr>
              <w:jc w:val="center"/>
            </w:pPr>
            <w:r w:rsidRPr="009C0CDB">
              <w:rPr>
                <w:color w:val="000000"/>
              </w:rPr>
              <w:t>€3.80</w:t>
            </w:r>
          </w:p>
        </w:tc>
      </w:tr>
      <w:tr w:rsidR="00BB1902" w:rsidRPr="009C0CDB" w14:paraId="5AB59AB5" w14:textId="77777777" w:rsidTr="00BB1902">
        <w:trPr>
          <w:trHeight w:val="255"/>
        </w:trPr>
        <w:tc>
          <w:tcPr>
            <w:tcW w:w="2960" w:type="dxa"/>
            <w:tcBorders>
              <w:top w:val="nil"/>
              <w:left w:val="single" w:sz="8" w:space="0" w:color="0070C0"/>
              <w:bottom w:val="nil"/>
              <w:right w:val="nil"/>
            </w:tcBorders>
            <w:tcMar>
              <w:top w:w="0" w:type="dxa"/>
              <w:left w:w="108" w:type="dxa"/>
              <w:bottom w:w="0" w:type="dxa"/>
              <w:right w:w="108" w:type="dxa"/>
            </w:tcMar>
            <w:vAlign w:val="center"/>
            <w:hideMark/>
          </w:tcPr>
          <w:p w14:paraId="5F14040D" w14:textId="77777777" w:rsidR="00BB1902" w:rsidRPr="009C0CDB" w:rsidRDefault="00BB1902" w:rsidP="00BB1902">
            <w:pPr>
              <w:rPr>
                <w:b/>
                <w:bCs/>
              </w:rPr>
            </w:pPr>
            <w:r w:rsidRPr="009C0CDB">
              <w:rPr>
                <w:b/>
                <w:bCs/>
              </w:rPr>
              <w:t xml:space="preserve">LGV </w:t>
            </w:r>
          </w:p>
        </w:tc>
        <w:tc>
          <w:tcPr>
            <w:tcW w:w="3405" w:type="dxa"/>
            <w:tcBorders>
              <w:top w:val="nil"/>
              <w:left w:val="single" w:sz="8" w:space="0" w:color="0070C0"/>
              <w:bottom w:val="nil"/>
              <w:right w:val="single" w:sz="8" w:space="0" w:color="BFBFBF"/>
            </w:tcBorders>
            <w:tcMar>
              <w:top w:w="0" w:type="dxa"/>
              <w:left w:w="108" w:type="dxa"/>
              <w:bottom w:w="0" w:type="dxa"/>
              <w:right w:w="108" w:type="dxa"/>
            </w:tcMar>
            <w:vAlign w:val="center"/>
            <w:hideMark/>
          </w:tcPr>
          <w:p w14:paraId="1DEC49A1" w14:textId="77777777" w:rsidR="00BB1902" w:rsidRPr="009C0CDB" w:rsidRDefault="00BB1902" w:rsidP="00BB1902">
            <w:pPr>
              <w:jc w:val="center"/>
            </w:pPr>
            <w:r w:rsidRPr="009C0CDB">
              <w:t>€3.50</w:t>
            </w:r>
          </w:p>
        </w:tc>
        <w:tc>
          <w:tcPr>
            <w:tcW w:w="3406" w:type="dxa"/>
            <w:tcBorders>
              <w:top w:val="nil"/>
              <w:left w:val="nil"/>
              <w:bottom w:val="nil"/>
              <w:right w:val="single" w:sz="8" w:space="0" w:color="0070C0"/>
            </w:tcBorders>
            <w:shd w:val="clear" w:color="auto" w:fill="E2EFD9"/>
            <w:tcMar>
              <w:top w:w="0" w:type="dxa"/>
              <w:left w:w="108" w:type="dxa"/>
              <w:bottom w:w="0" w:type="dxa"/>
              <w:right w:w="108" w:type="dxa"/>
            </w:tcMar>
            <w:vAlign w:val="center"/>
            <w:hideMark/>
          </w:tcPr>
          <w:p w14:paraId="0CD17657" w14:textId="77777777" w:rsidR="00BB1902" w:rsidRPr="009C0CDB" w:rsidRDefault="00BB1902" w:rsidP="00BB1902">
            <w:pPr>
              <w:jc w:val="center"/>
            </w:pPr>
            <w:r w:rsidRPr="009C0CDB">
              <w:rPr>
                <w:color w:val="000000"/>
              </w:rPr>
              <w:t>€3.80</w:t>
            </w:r>
          </w:p>
        </w:tc>
      </w:tr>
      <w:tr w:rsidR="00BB1902" w:rsidRPr="009C0CDB" w14:paraId="03F92900" w14:textId="77777777" w:rsidTr="00BB1902">
        <w:trPr>
          <w:trHeight w:val="255"/>
        </w:trPr>
        <w:tc>
          <w:tcPr>
            <w:tcW w:w="2960" w:type="dxa"/>
            <w:tcBorders>
              <w:top w:val="nil"/>
              <w:left w:val="single" w:sz="8" w:space="0" w:color="0070C0"/>
              <w:bottom w:val="nil"/>
              <w:right w:val="nil"/>
            </w:tcBorders>
            <w:tcMar>
              <w:top w:w="0" w:type="dxa"/>
              <w:left w:w="108" w:type="dxa"/>
              <w:bottom w:w="0" w:type="dxa"/>
              <w:right w:w="108" w:type="dxa"/>
            </w:tcMar>
            <w:vAlign w:val="center"/>
            <w:hideMark/>
          </w:tcPr>
          <w:p w14:paraId="03FCE6F4" w14:textId="77777777" w:rsidR="00BB1902" w:rsidRPr="009C0CDB" w:rsidRDefault="00BB1902" w:rsidP="00BB1902">
            <w:pPr>
              <w:rPr>
                <w:b/>
                <w:bCs/>
              </w:rPr>
            </w:pPr>
            <w:r w:rsidRPr="009C0CDB">
              <w:rPr>
                <w:b/>
                <w:bCs/>
              </w:rPr>
              <w:t>2/3 Axle</w:t>
            </w:r>
          </w:p>
        </w:tc>
        <w:tc>
          <w:tcPr>
            <w:tcW w:w="3405" w:type="dxa"/>
            <w:tcBorders>
              <w:top w:val="nil"/>
              <w:left w:val="single" w:sz="8" w:space="0" w:color="0070C0"/>
              <w:bottom w:val="nil"/>
              <w:right w:val="single" w:sz="8" w:space="0" w:color="BFBFBF"/>
            </w:tcBorders>
            <w:tcMar>
              <w:top w:w="0" w:type="dxa"/>
              <w:left w:w="108" w:type="dxa"/>
              <w:bottom w:w="0" w:type="dxa"/>
              <w:right w:w="108" w:type="dxa"/>
            </w:tcMar>
            <w:vAlign w:val="center"/>
            <w:hideMark/>
          </w:tcPr>
          <w:p w14:paraId="1834BFE9" w14:textId="77777777" w:rsidR="00BB1902" w:rsidRPr="009C0CDB" w:rsidRDefault="00BB1902" w:rsidP="00BB1902">
            <w:pPr>
              <w:jc w:val="center"/>
            </w:pPr>
            <w:r w:rsidRPr="009C0CDB">
              <w:t>€4.90</w:t>
            </w:r>
          </w:p>
        </w:tc>
        <w:tc>
          <w:tcPr>
            <w:tcW w:w="3406" w:type="dxa"/>
            <w:tcBorders>
              <w:top w:val="nil"/>
              <w:left w:val="nil"/>
              <w:bottom w:val="nil"/>
              <w:right w:val="single" w:sz="8" w:space="0" w:color="0070C0"/>
            </w:tcBorders>
            <w:shd w:val="clear" w:color="auto" w:fill="E2EFD9"/>
            <w:tcMar>
              <w:top w:w="0" w:type="dxa"/>
              <w:left w:w="108" w:type="dxa"/>
              <w:bottom w:w="0" w:type="dxa"/>
              <w:right w:w="108" w:type="dxa"/>
            </w:tcMar>
            <w:vAlign w:val="center"/>
            <w:hideMark/>
          </w:tcPr>
          <w:p w14:paraId="3AB319FF" w14:textId="77777777" w:rsidR="00BB1902" w:rsidRPr="009C0CDB" w:rsidRDefault="00BB1902" w:rsidP="00BB1902">
            <w:pPr>
              <w:jc w:val="center"/>
            </w:pPr>
            <w:r w:rsidRPr="009C0CDB">
              <w:rPr>
                <w:color w:val="000000"/>
              </w:rPr>
              <w:t>€5.40</w:t>
            </w:r>
          </w:p>
        </w:tc>
      </w:tr>
      <w:tr w:rsidR="00BB1902" w:rsidRPr="009C0CDB" w14:paraId="309787B8" w14:textId="77777777" w:rsidTr="00BB1902">
        <w:trPr>
          <w:trHeight w:val="270"/>
        </w:trPr>
        <w:tc>
          <w:tcPr>
            <w:tcW w:w="2960" w:type="dxa"/>
            <w:tcBorders>
              <w:top w:val="nil"/>
              <w:left w:val="single" w:sz="8" w:space="0" w:color="0070C0"/>
              <w:bottom w:val="single" w:sz="8" w:space="0" w:color="0070C0"/>
              <w:right w:val="nil"/>
            </w:tcBorders>
            <w:tcMar>
              <w:top w:w="0" w:type="dxa"/>
              <w:left w:w="108" w:type="dxa"/>
              <w:bottom w:w="0" w:type="dxa"/>
              <w:right w:w="108" w:type="dxa"/>
            </w:tcMar>
            <w:vAlign w:val="center"/>
            <w:hideMark/>
          </w:tcPr>
          <w:p w14:paraId="08A6A4EB" w14:textId="77777777" w:rsidR="00BB1902" w:rsidRPr="009C0CDB" w:rsidRDefault="00BB1902" w:rsidP="00BB1902">
            <w:pPr>
              <w:rPr>
                <w:b/>
                <w:bCs/>
              </w:rPr>
            </w:pPr>
            <w:r w:rsidRPr="009C0CDB">
              <w:rPr>
                <w:b/>
                <w:bCs/>
              </w:rPr>
              <w:t>4 Axle</w:t>
            </w:r>
          </w:p>
        </w:tc>
        <w:tc>
          <w:tcPr>
            <w:tcW w:w="3405" w:type="dxa"/>
            <w:tcBorders>
              <w:top w:val="nil"/>
              <w:left w:val="single" w:sz="8" w:space="0" w:color="0070C0"/>
              <w:bottom w:val="single" w:sz="8" w:space="0" w:color="0070C0"/>
              <w:right w:val="single" w:sz="8" w:space="0" w:color="BFBFBF"/>
            </w:tcBorders>
            <w:tcMar>
              <w:top w:w="0" w:type="dxa"/>
              <w:left w:w="108" w:type="dxa"/>
              <w:bottom w:w="0" w:type="dxa"/>
              <w:right w:w="108" w:type="dxa"/>
            </w:tcMar>
            <w:vAlign w:val="center"/>
            <w:hideMark/>
          </w:tcPr>
          <w:p w14:paraId="7C117C85" w14:textId="77777777" w:rsidR="00BB1902" w:rsidRPr="009C0CDB" w:rsidRDefault="00BB1902" w:rsidP="00BB1902">
            <w:pPr>
              <w:jc w:val="center"/>
              <w:rPr>
                <w:vertAlign w:val="superscript"/>
              </w:rPr>
            </w:pPr>
            <w:r w:rsidRPr="009C0CDB">
              <w:t>€6.30</w:t>
            </w:r>
          </w:p>
        </w:tc>
        <w:tc>
          <w:tcPr>
            <w:tcW w:w="3406" w:type="dxa"/>
            <w:tcBorders>
              <w:top w:val="nil"/>
              <w:left w:val="nil"/>
              <w:bottom w:val="single" w:sz="8" w:space="0" w:color="0070C0"/>
              <w:right w:val="single" w:sz="8" w:space="0" w:color="0070C0"/>
            </w:tcBorders>
            <w:shd w:val="clear" w:color="auto" w:fill="E2EFD9"/>
            <w:tcMar>
              <w:top w:w="0" w:type="dxa"/>
              <w:left w:w="108" w:type="dxa"/>
              <w:bottom w:w="0" w:type="dxa"/>
              <w:right w:w="108" w:type="dxa"/>
            </w:tcMar>
            <w:vAlign w:val="center"/>
            <w:hideMark/>
          </w:tcPr>
          <w:p w14:paraId="45E30083" w14:textId="77777777" w:rsidR="00BB1902" w:rsidRPr="009C0CDB" w:rsidRDefault="00BB1902" w:rsidP="00BB1902">
            <w:pPr>
              <w:jc w:val="center"/>
            </w:pPr>
            <w:r w:rsidRPr="009C0CDB">
              <w:rPr>
                <w:color w:val="000000"/>
              </w:rPr>
              <w:t>€6.80</w:t>
            </w:r>
          </w:p>
        </w:tc>
      </w:tr>
      <w:tr w:rsidR="00BB1902" w:rsidRPr="009C0CDB" w14:paraId="221DF601" w14:textId="77777777" w:rsidTr="00BB1902">
        <w:trPr>
          <w:trHeight w:val="300"/>
        </w:trPr>
        <w:tc>
          <w:tcPr>
            <w:tcW w:w="2960" w:type="dxa"/>
            <w:tcBorders>
              <w:top w:val="nil"/>
              <w:left w:val="single" w:sz="8" w:space="0" w:color="0070C0"/>
              <w:bottom w:val="nil"/>
              <w:right w:val="nil"/>
            </w:tcBorders>
            <w:shd w:val="clear" w:color="auto" w:fill="D9D9D9"/>
            <w:tcMar>
              <w:top w:w="0" w:type="dxa"/>
              <w:left w:w="108" w:type="dxa"/>
              <w:bottom w:w="0" w:type="dxa"/>
              <w:right w:w="108" w:type="dxa"/>
            </w:tcMar>
            <w:vAlign w:val="center"/>
            <w:hideMark/>
          </w:tcPr>
          <w:p w14:paraId="403E676C" w14:textId="77777777" w:rsidR="00BB1902" w:rsidRPr="009C0CDB" w:rsidRDefault="00BB1902" w:rsidP="00BB1902">
            <w:r w:rsidRPr="009C0CDB">
              <w:rPr>
                <w:color w:val="000000"/>
              </w:rPr>
              <w:t> </w:t>
            </w:r>
          </w:p>
        </w:tc>
        <w:tc>
          <w:tcPr>
            <w:tcW w:w="6811" w:type="dxa"/>
            <w:gridSpan w:val="2"/>
            <w:tcBorders>
              <w:top w:val="nil"/>
              <w:left w:val="single" w:sz="8" w:space="0" w:color="0070C0"/>
              <w:bottom w:val="nil"/>
              <w:right w:val="single" w:sz="8" w:space="0" w:color="0070C0"/>
            </w:tcBorders>
            <w:shd w:val="clear" w:color="auto" w:fill="D9D9D9"/>
            <w:tcMar>
              <w:top w:w="0" w:type="dxa"/>
              <w:left w:w="108" w:type="dxa"/>
              <w:bottom w:w="0" w:type="dxa"/>
              <w:right w:w="108" w:type="dxa"/>
            </w:tcMar>
            <w:vAlign w:val="center"/>
            <w:hideMark/>
          </w:tcPr>
          <w:p w14:paraId="35128250" w14:textId="77777777" w:rsidR="00BB1902" w:rsidRPr="009C0CDB" w:rsidRDefault="00BB1902" w:rsidP="00BB1902">
            <w:pPr>
              <w:jc w:val="center"/>
              <w:rPr>
                <w:b/>
                <w:bCs/>
                <w:color w:val="002060"/>
              </w:rPr>
            </w:pPr>
            <w:r w:rsidRPr="009C0CDB">
              <w:rPr>
                <w:b/>
                <w:bCs/>
                <w:color w:val="002060"/>
              </w:rPr>
              <w:t>PPP Concession:  M3</w:t>
            </w:r>
          </w:p>
        </w:tc>
      </w:tr>
      <w:tr w:rsidR="00BB1902" w:rsidRPr="009C0CDB" w14:paraId="0084C690" w14:textId="77777777" w:rsidTr="00BB1902">
        <w:trPr>
          <w:trHeight w:val="300"/>
        </w:trPr>
        <w:tc>
          <w:tcPr>
            <w:tcW w:w="2960" w:type="dxa"/>
            <w:tcBorders>
              <w:top w:val="nil"/>
              <w:left w:val="single" w:sz="8" w:space="0" w:color="0070C0"/>
              <w:bottom w:val="nil"/>
              <w:right w:val="nil"/>
            </w:tcBorders>
            <w:tcMar>
              <w:top w:w="0" w:type="dxa"/>
              <w:left w:w="108" w:type="dxa"/>
              <w:bottom w:w="0" w:type="dxa"/>
              <w:right w:w="108" w:type="dxa"/>
            </w:tcMar>
            <w:vAlign w:val="center"/>
            <w:hideMark/>
          </w:tcPr>
          <w:p w14:paraId="72734E04" w14:textId="77777777" w:rsidR="00BB1902" w:rsidRPr="009C0CDB" w:rsidRDefault="00BB1902" w:rsidP="00BB1902">
            <w:pPr>
              <w:rPr>
                <w:b/>
                <w:bCs/>
              </w:rPr>
            </w:pPr>
            <w:r w:rsidRPr="009C0CDB">
              <w:rPr>
                <w:b/>
                <w:bCs/>
              </w:rPr>
              <w:t>Motorcycle</w:t>
            </w:r>
          </w:p>
        </w:tc>
        <w:tc>
          <w:tcPr>
            <w:tcW w:w="3405" w:type="dxa"/>
            <w:tcBorders>
              <w:top w:val="nil"/>
              <w:left w:val="single" w:sz="8" w:space="0" w:color="0070C0"/>
              <w:bottom w:val="nil"/>
              <w:right w:val="single" w:sz="8" w:space="0" w:color="BFBFBF"/>
            </w:tcBorders>
            <w:tcMar>
              <w:top w:w="0" w:type="dxa"/>
              <w:left w:w="108" w:type="dxa"/>
              <w:bottom w:w="0" w:type="dxa"/>
              <w:right w:w="108" w:type="dxa"/>
            </w:tcMar>
            <w:vAlign w:val="center"/>
            <w:hideMark/>
          </w:tcPr>
          <w:p w14:paraId="4C84DE7F" w14:textId="77777777" w:rsidR="00BB1902" w:rsidRPr="009C0CDB" w:rsidRDefault="00BB1902" w:rsidP="00BB1902">
            <w:pPr>
              <w:jc w:val="center"/>
            </w:pPr>
            <w:r w:rsidRPr="009C0CDB">
              <w:t>€0.80</w:t>
            </w:r>
          </w:p>
        </w:tc>
        <w:tc>
          <w:tcPr>
            <w:tcW w:w="3406" w:type="dxa"/>
            <w:tcBorders>
              <w:top w:val="nil"/>
              <w:left w:val="nil"/>
              <w:bottom w:val="nil"/>
              <w:right w:val="single" w:sz="8" w:space="0" w:color="0070C0"/>
            </w:tcBorders>
            <w:tcMar>
              <w:top w:w="0" w:type="dxa"/>
              <w:left w:w="108" w:type="dxa"/>
              <w:bottom w:w="0" w:type="dxa"/>
              <w:right w:w="108" w:type="dxa"/>
            </w:tcMar>
            <w:vAlign w:val="center"/>
            <w:hideMark/>
          </w:tcPr>
          <w:p w14:paraId="20588F79" w14:textId="77777777" w:rsidR="00BB1902" w:rsidRPr="009C0CDB" w:rsidRDefault="00BB1902" w:rsidP="00BB1902">
            <w:pPr>
              <w:jc w:val="center"/>
            </w:pPr>
            <w:r w:rsidRPr="009C0CDB">
              <w:t>€0.80</w:t>
            </w:r>
          </w:p>
        </w:tc>
      </w:tr>
      <w:tr w:rsidR="00BB1902" w:rsidRPr="009C0CDB" w14:paraId="02C4B748" w14:textId="77777777" w:rsidTr="00BB1902">
        <w:trPr>
          <w:trHeight w:val="300"/>
        </w:trPr>
        <w:tc>
          <w:tcPr>
            <w:tcW w:w="2960" w:type="dxa"/>
            <w:tcBorders>
              <w:top w:val="nil"/>
              <w:left w:val="single" w:sz="8" w:space="0" w:color="0070C0"/>
              <w:bottom w:val="nil"/>
              <w:right w:val="nil"/>
            </w:tcBorders>
            <w:tcMar>
              <w:top w:w="0" w:type="dxa"/>
              <w:left w:w="108" w:type="dxa"/>
              <w:bottom w:w="0" w:type="dxa"/>
              <w:right w:w="108" w:type="dxa"/>
            </w:tcMar>
            <w:vAlign w:val="center"/>
            <w:hideMark/>
          </w:tcPr>
          <w:p w14:paraId="00C23F3C" w14:textId="77777777" w:rsidR="00BB1902" w:rsidRPr="009C0CDB" w:rsidRDefault="00BB1902" w:rsidP="00BB1902">
            <w:pPr>
              <w:rPr>
                <w:b/>
                <w:bCs/>
              </w:rPr>
            </w:pPr>
            <w:r w:rsidRPr="009C0CDB">
              <w:rPr>
                <w:b/>
                <w:bCs/>
              </w:rPr>
              <w:t>Car</w:t>
            </w:r>
          </w:p>
        </w:tc>
        <w:tc>
          <w:tcPr>
            <w:tcW w:w="3405" w:type="dxa"/>
            <w:tcBorders>
              <w:top w:val="nil"/>
              <w:left w:val="single" w:sz="8" w:space="0" w:color="0070C0"/>
              <w:bottom w:val="nil"/>
              <w:right w:val="single" w:sz="8" w:space="0" w:color="BFBFBF"/>
            </w:tcBorders>
            <w:tcMar>
              <w:top w:w="0" w:type="dxa"/>
              <w:left w:w="108" w:type="dxa"/>
              <w:bottom w:w="0" w:type="dxa"/>
              <w:right w:w="108" w:type="dxa"/>
            </w:tcMar>
            <w:vAlign w:val="center"/>
            <w:hideMark/>
          </w:tcPr>
          <w:p w14:paraId="370087C3" w14:textId="77777777" w:rsidR="00BB1902" w:rsidRPr="009C0CDB" w:rsidRDefault="00BB1902" w:rsidP="00BB1902">
            <w:pPr>
              <w:jc w:val="center"/>
            </w:pPr>
            <w:r w:rsidRPr="009C0CDB">
              <w:t>€1.50</w:t>
            </w:r>
          </w:p>
        </w:tc>
        <w:tc>
          <w:tcPr>
            <w:tcW w:w="3406" w:type="dxa"/>
            <w:tcBorders>
              <w:top w:val="nil"/>
              <w:left w:val="nil"/>
              <w:bottom w:val="nil"/>
              <w:right w:val="single" w:sz="8" w:space="0" w:color="0070C0"/>
            </w:tcBorders>
            <w:shd w:val="clear" w:color="auto" w:fill="E2EFD9"/>
            <w:tcMar>
              <w:top w:w="0" w:type="dxa"/>
              <w:left w:w="108" w:type="dxa"/>
              <w:bottom w:w="0" w:type="dxa"/>
              <w:right w:w="108" w:type="dxa"/>
            </w:tcMar>
            <w:vAlign w:val="center"/>
            <w:hideMark/>
          </w:tcPr>
          <w:p w14:paraId="2A651433" w14:textId="77777777" w:rsidR="00BB1902" w:rsidRPr="009C0CDB" w:rsidRDefault="00BB1902" w:rsidP="00BB1902">
            <w:pPr>
              <w:jc w:val="center"/>
            </w:pPr>
            <w:r w:rsidRPr="009C0CDB">
              <w:rPr>
                <w:color w:val="000000"/>
              </w:rPr>
              <w:t>€1.60</w:t>
            </w:r>
          </w:p>
        </w:tc>
      </w:tr>
      <w:tr w:rsidR="00BB1902" w:rsidRPr="009C0CDB" w14:paraId="0660C521" w14:textId="77777777" w:rsidTr="00BB1902">
        <w:trPr>
          <w:trHeight w:val="270"/>
        </w:trPr>
        <w:tc>
          <w:tcPr>
            <w:tcW w:w="2960" w:type="dxa"/>
            <w:tcBorders>
              <w:top w:val="nil"/>
              <w:left w:val="single" w:sz="8" w:space="0" w:color="0070C0"/>
              <w:bottom w:val="nil"/>
              <w:right w:val="nil"/>
            </w:tcBorders>
            <w:tcMar>
              <w:top w:w="0" w:type="dxa"/>
              <w:left w:w="108" w:type="dxa"/>
              <w:bottom w:w="0" w:type="dxa"/>
              <w:right w:w="108" w:type="dxa"/>
            </w:tcMar>
            <w:vAlign w:val="center"/>
            <w:hideMark/>
          </w:tcPr>
          <w:p w14:paraId="4FB7F4F6" w14:textId="77777777" w:rsidR="00BB1902" w:rsidRPr="009C0CDB" w:rsidRDefault="00BB1902" w:rsidP="00BB1902">
            <w:pPr>
              <w:rPr>
                <w:b/>
                <w:bCs/>
              </w:rPr>
            </w:pPr>
            <w:r w:rsidRPr="009C0CDB">
              <w:rPr>
                <w:b/>
                <w:bCs/>
              </w:rPr>
              <w:t>Bus</w:t>
            </w:r>
          </w:p>
        </w:tc>
        <w:tc>
          <w:tcPr>
            <w:tcW w:w="3405" w:type="dxa"/>
            <w:tcBorders>
              <w:top w:val="nil"/>
              <w:left w:val="single" w:sz="8" w:space="0" w:color="0070C0"/>
              <w:bottom w:val="nil"/>
              <w:right w:val="single" w:sz="8" w:space="0" w:color="BFBFBF"/>
            </w:tcBorders>
            <w:tcMar>
              <w:top w:w="0" w:type="dxa"/>
              <w:left w:w="108" w:type="dxa"/>
              <w:bottom w:w="0" w:type="dxa"/>
              <w:right w:w="108" w:type="dxa"/>
            </w:tcMar>
            <w:vAlign w:val="center"/>
            <w:hideMark/>
          </w:tcPr>
          <w:p w14:paraId="5F3D56DC" w14:textId="77777777" w:rsidR="00BB1902" w:rsidRPr="009C0CDB" w:rsidRDefault="00BB1902" w:rsidP="00BB1902">
            <w:pPr>
              <w:jc w:val="center"/>
            </w:pPr>
            <w:r w:rsidRPr="009C0CDB">
              <w:t>€2.30</w:t>
            </w:r>
          </w:p>
        </w:tc>
        <w:tc>
          <w:tcPr>
            <w:tcW w:w="3406" w:type="dxa"/>
            <w:tcBorders>
              <w:top w:val="nil"/>
              <w:left w:val="nil"/>
              <w:bottom w:val="nil"/>
              <w:right w:val="single" w:sz="8" w:space="0" w:color="0070C0"/>
            </w:tcBorders>
            <w:shd w:val="clear" w:color="auto" w:fill="E2EFD9"/>
            <w:tcMar>
              <w:top w:w="0" w:type="dxa"/>
              <w:left w:w="108" w:type="dxa"/>
              <w:bottom w:w="0" w:type="dxa"/>
              <w:right w:w="108" w:type="dxa"/>
            </w:tcMar>
            <w:vAlign w:val="center"/>
            <w:hideMark/>
          </w:tcPr>
          <w:p w14:paraId="4F3A306E" w14:textId="77777777" w:rsidR="00BB1902" w:rsidRPr="009C0CDB" w:rsidRDefault="00BB1902" w:rsidP="00BB1902">
            <w:pPr>
              <w:jc w:val="center"/>
            </w:pPr>
            <w:r w:rsidRPr="009C0CDB">
              <w:rPr>
                <w:color w:val="000000"/>
              </w:rPr>
              <w:t>€2.40</w:t>
            </w:r>
          </w:p>
        </w:tc>
      </w:tr>
      <w:tr w:rsidR="00BB1902" w:rsidRPr="009C0CDB" w14:paraId="6163B3D0" w14:textId="77777777" w:rsidTr="00BB1902">
        <w:trPr>
          <w:trHeight w:val="270"/>
        </w:trPr>
        <w:tc>
          <w:tcPr>
            <w:tcW w:w="2960" w:type="dxa"/>
            <w:tcBorders>
              <w:top w:val="nil"/>
              <w:left w:val="single" w:sz="8" w:space="0" w:color="0070C0"/>
              <w:bottom w:val="nil"/>
              <w:right w:val="nil"/>
            </w:tcBorders>
            <w:tcMar>
              <w:top w:w="0" w:type="dxa"/>
              <w:left w:w="108" w:type="dxa"/>
              <w:bottom w:w="0" w:type="dxa"/>
              <w:right w:w="108" w:type="dxa"/>
            </w:tcMar>
            <w:vAlign w:val="center"/>
            <w:hideMark/>
          </w:tcPr>
          <w:p w14:paraId="49773C4F" w14:textId="77777777" w:rsidR="00BB1902" w:rsidRPr="009C0CDB" w:rsidRDefault="00BB1902" w:rsidP="00BB1902">
            <w:pPr>
              <w:rPr>
                <w:b/>
                <w:bCs/>
              </w:rPr>
            </w:pPr>
            <w:r w:rsidRPr="009C0CDB">
              <w:rPr>
                <w:b/>
                <w:bCs/>
              </w:rPr>
              <w:t xml:space="preserve">LGV </w:t>
            </w:r>
          </w:p>
        </w:tc>
        <w:tc>
          <w:tcPr>
            <w:tcW w:w="3405" w:type="dxa"/>
            <w:tcBorders>
              <w:top w:val="nil"/>
              <w:left w:val="single" w:sz="8" w:space="0" w:color="0070C0"/>
              <w:bottom w:val="nil"/>
              <w:right w:val="single" w:sz="8" w:space="0" w:color="BFBFBF"/>
            </w:tcBorders>
            <w:tcMar>
              <w:top w:w="0" w:type="dxa"/>
              <w:left w:w="108" w:type="dxa"/>
              <w:bottom w:w="0" w:type="dxa"/>
              <w:right w:w="108" w:type="dxa"/>
            </w:tcMar>
            <w:vAlign w:val="center"/>
            <w:hideMark/>
          </w:tcPr>
          <w:p w14:paraId="7E517AD0" w14:textId="77777777" w:rsidR="00BB1902" w:rsidRPr="009C0CDB" w:rsidRDefault="00BB1902" w:rsidP="00BB1902">
            <w:pPr>
              <w:jc w:val="center"/>
            </w:pPr>
            <w:r w:rsidRPr="009C0CDB">
              <w:t>€2.30</w:t>
            </w:r>
          </w:p>
        </w:tc>
        <w:tc>
          <w:tcPr>
            <w:tcW w:w="3406" w:type="dxa"/>
            <w:tcBorders>
              <w:top w:val="nil"/>
              <w:left w:val="nil"/>
              <w:bottom w:val="nil"/>
              <w:right w:val="single" w:sz="8" w:space="0" w:color="0070C0"/>
            </w:tcBorders>
            <w:shd w:val="clear" w:color="auto" w:fill="E2EFD9"/>
            <w:tcMar>
              <w:top w:w="0" w:type="dxa"/>
              <w:left w:w="108" w:type="dxa"/>
              <w:bottom w:w="0" w:type="dxa"/>
              <w:right w:w="108" w:type="dxa"/>
            </w:tcMar>
            <w:vAlign w:val="center"/>
            <w:hideMark/>
          </w:tcPr>
          <w:p w14:paraId="16E16EC8" w14:textId="77777777" w:rsidR="00BB1902" w:rsidRPr="009C0CDB" w:rsidRDefault="00BB1902" w:rsidP="00BB1902">
            <w:pPr>
              <w:jc w:val="center"/>
            </w:pPr>
            <w:r w:rsidRPr="009C0CDB">
              <w:rPr>
                <w:color w:val="000000"/>
              </w:rPr>
              <w:t>€2.40</w:t>
            </w:r>
          </w:p>
        </w:tc>
      </w:tr>
      <w:tr w:rsidR="00BB1902" w:rsidRPr="009C0CDB" w14:paraId="5A6DE58A" w14:textId="77777777" w:rsidTr="00BB1902">
        <w:trPr>
          <w:trHeight w:val="255"/>
        </w:trPr>
        <w:tc>
          <w:tcPr>
            <w:tcW w:w="2960" w:type="dxa"/>
            <w:tcBorders>
              <w:top w:val="nil"/>
              <w:left w:val="single" w:sz="8" w:space="0" w:color="0070C0"/>
              <w:bottom w:val="nil"/>
              <w:right w:val="nil"/>
            </w:tcBorders>
            <w:tcMar>
              <w:top w:w="0" w:type="dxa"/>
              <w:left w:w="108" w:type="dxa"/>
              <w:bottom w:w="0" w:type="dxa"/>
              <w:right w:w="108" w:type="dxa"/>
            </w:tcMar>
            <w:vAlign w:val="center"/>
            <w:hideMark/>
          </w:tcPr>
          <w:p w14:paraId="48F62581" w14:textId="77777777" w:rsidR="00BB1902" w:rsidRPr="009C0CDB" w:rsidRDefault="00BB1902" w:rsidP="00BB1902">
            <w:pPr>
              <w:rPr>
                <w:b/>
                <w:bCs/>
              </w:rPr>
            </w:pPr>
            <w:r w:rsidRPr="009C0CDB">
              <w:rPr>
                <w:b/>
                <w:bCs/>
              </w:rPr>
              <w:t>2/3 Axle</w:t>
            </w:r>
          </w:p>
        </w:tc>
        <w:tc>
          <w:tcPr>
            <w:tcW w:w="3405" w:type="dxa"/>
            <w:tcBorders>
              <w:top w:val="nil"/>
              <w:left w:val="single" w:sz="8" w:space="0" w:color="0070C0"/>
              <w:bottom w:val="nil"/>
              <w:right w:val="single" w:sz="8" w:space="0" w:color="BFBFBF"/>
            </w:tcBorders>
            <w:tcMar>
              <w:top w:w="0" w:type="dxa"/>
              <w:left w:w="108" w:type="dxa"/>
              <w:bottom w:w="0" w:type="dxa"/>
              <w:right w:w="108" w:type="dxa"/>
            </w:tcMar>
            <w:vAlign w:val="center"/>
            <w:hideMark/>
          </w:tcPr>
          <w:p w14:paraId="260991C4" w14:textId="77777777" w:rsidR="00BB1902" w:rsidRPr="009C0CDB" w:rsidRDefault="00BB1902" w:rsidP="00BB1902">
            <w:pPr>
              <w:jc w:val="center"/>
            </w:pPr>
            <w:r w:rsidRPr="009C0CDB">
              <w:t>€3.00</w:t>
            </w:r>
          </w:p>
        </w:tc>
        <w:tc>
          <w:tcPr>
            <w:tcW w:w="3406" w:type="dxa"/>
            <w:tcBorders>
              <w:top w:val="nil"/>
              <w:left w:val="nil"/>
              <w:bottom w:val="nil"/>
              <w:right w:val="single" w:sz="8" w:space="0" w:color="0070C0"/>
            </w:tcBorders>
            <w:shd w:val="clear" w:color="auto" w:fill="E2EFD9"/>
            <w:tcMar>
              <w:top w:w="0" w:type="dxa"/>
              <w:left w:w="108" w:type="dxa"/>
              <w:bottom w:w="0" w:type="dxa"/>
              <w:right w:w="108" w:type="dxa"/>
            </w:tcMar>
            <w:vAlign w:val="center"/>
            <w:hideMark/>
          </w:tcPr>
          <w:p w14:paraId="5829E61E" w14:textId="77777777" w:rsidR="00BB1902" w:rsidRPr="009C0CDB" w:rsidRDefault="00BB1902" w:rsidP="00BB1902">
            <w:pPr>
              <w:jc w:val="center"/>
            </w:pPr>
            <w:r w:rsidRPr="009C0CDB">
              <w:rPr>
                <w:color w:val="000000"/>
              </w:rPr>
              <w:t>€3.20</w:t>
            </w:r>
          </w:p>
        </w:tc>
      </w:tr>
      <w:tr w:rsidR="00BB1902" w:rsidRPr="009C0CDB" w14:paraId="2FF64419" w14:textId="77777777" w:rsidTr="00BB1902">
        <w:trPr>
          <w:trHeight w:val="315"/>
        </w:trPr>
        <w:tc>
          <w:tcPr>
            <w:tcW w:w="2960" w:type="dxa"/>
            <w:tcBorders>
              <w:top w:val="nil"/>
              <w:left w:val="single" w:sz="8" w:space="0" w:color="0070C0"/>
              <w:bottom w:val="single" w:sz="8" w:space="0" w:color="0070C0"/>
              <w:right w:val="nil"/>
            </w:tcBorders>
            <w:tcMar>
              <w:top w:w="0" w:type="dxa"/>
              <w:left w:w="108" w:type="dxa"/>
              <w:bottom w:w="0" w:type="dxa"/>
              <w:right w:w="108" w:type="dxa"/>
            </w:tcMar>
            <w:vAlign w:val="center"/>
            <w:hideMark/>
          </w:tcPr>
          <w:p w14:paraId="450BB467" w14:textId="77777777" w:rsidR="00BB1902" w:rsidRPr="009C0CDB" w:rsidRDefault="00BB1902" w:rsidP="00BB1902">
            <w:pPr>
              <w:rPr>
                <w:b/>
                <w:bCs/>
              </w:rPr>
            </w:pPr>
            <w:r w:rsidRPr="009C0CDB">
              <w:rPr>
                <w:b/>
                <w:bCs/>
              </w:rPr>
              <w:t>4 Axle</w:t>
            </w:r>
          </w:p>
        </w:tc>
        <w:tc>
          <w:tcPr>
            <w:tcW w:w="3405" w:type="dxa"/>
            <w:tcBorders>
              <w:top w:val="nil"/>
              <w:left w:val="single" w:sz="8" w:space="0" w:color="0070C0"/>
              <w:bottom w:val="single" w:sz="8" w:space="0" w:color="0070C0"/>
              <w:right w:val="single" w:sz="8" w:space="0" w:color="BFBFBF"/>
            </w:tcBorders>
            <w:tcMar>
              <w:top w:w="0" w:type="dxa"/>
              <w:left w:w="108" w:type="dxa"/>
              <w:bottom w:w="0" w:type="dxa"/>
              <w:right w:w="108" w:type="dxa"/>
            </w:tcMar>
            <w:vAlign w:val="center"/>
            <w:hideMark/>
          </w:tcPr>
          <w:p w14:paraId="6D14A204" w14:textId="77777777" w:rsidR="00BB1902" w:rsidRPr="009C0CDB" w:rsidRDefault="00BB1902" w:rsidP="00BB1902">
            <w:pPr>
              <w:jc w:val="center"/>
            </w:pPr>
            <w:r w:rsidRPr="009C0CDB">
              <w:t>€3.70</w:t>
            </w:r>
          </w:p>
        </w:tc>
        <w:tc>
          <w:tcPr>
            <w:tcW w:w="3406" w:type="dxa"/>
            <w:tcBorders>
              <w:top w:val="nil"/>
              <w:left w:val="nil"/>
              <w:bottom w:val="single" w:sz="8" w:space="0" w:color="0070C0"/>
              <w:right w:val="single" w:sz="8" w:space="0" w:color="0070C0"/>
            </w:tcBorders>
            <w:shd w:val="clear" w:color="auto" w:fill="E2EFD9"/>
            <w:tcMar>
              <w:top w:w="0" w:type="dxa"/>
              <w:left w:w="108" w:type="dxa"/>
              <w:bottom w:w="0" w:type="dxa"/>
              <w:right w:w="108" w:type="dxa"/>
            </w:tcMar>
            <w:vAlign w:val="center"/>
            <w:hideMark/>
          </w:tcPr>
          <w:p w14:paraId="4B98620C" w14:textId="77777777" w:rsidR="00BB1902" w:rsidRPr="009C0CDB" w:rsidRDefault="00BB1902" w:rsidP="00BB1902">
            <w:pPr>
              <w:jc w:val="center"/>
            </w:pPr>
            <w:r w:rsidRPr="009C0CDB">
              <w:rPr>
                <w:color w:val="000000"/>
              </w:rPr>
              <w:t>€4.00</w:t>
            </w:r>
          </w:p>
        </w:tc>
      </w:tr>
      <w:tr w:rsidR="00BB1902" w:rsidRPr="009C0CDB" w14:paraId="21AD9F24" w14:textId="77777777" w:rsidTr="00BB1902">
        <w:trPr>
          <w:trHeight w:val="300"/>
        </w:trPr>
        <w:tc>
          <w:tcPr>
            <w:tcW w:w="2960" w:type="dxa"/>
            <w:tcBorders>
              <w:top w:val="nil"/>
              <w:left w:val="single" w:sz="8" w:space="0" w:color="0070C0"/>
              <w:bottom w:val="nil"/>
              <w:right w:val="nil"/>
            </w:tcBorders>
            <w:shd w:val="clear" w:color="auto" w:fill="D9D9D9"/>
            <w:tcMar>
              <w:top w:w="0" w:type="dxa"/>
              <w:left w:w="108" w:type="dxa"/>
              <w:bottom w:w="0" w:type="dxa"/>
              <w:right w:w="108" w:type="dxa"/>
            </w:tcMar>
            <w:vAlign w:val="center"/>
            <w:hideMark/>
          </w:tcPr>
          <w:p w14:paraId="159F2F7A" w14:textId="77777777" w:rsidR="00BB1902" w:rsidRPr="009C0CDB" w:rsidRDefault="00BB1902" w:rsidP="00BB1902">
            <w:r w:rsidRPr="009C0CDB">
              <w:rPr>
                <w:color w:val="000000"/>
              </w:rPr>
              <w:t> </w:t>
            </w:r>
          </w:p>
        </w:tc>
        <w:tc>
          <w:tcPr>
            <w:tcW w:w="6811" w:type="dxa"/>
            <w:gridSpan w:val="2"/>
            <w:tcBorders>
              <w:top w:val="nil"/>
              <w:left w:val="single" w:sz="8" w:space="0" w:color="0070C0"/>
              <w:bottom w:val="nil"/>
              <w:right w:val="single" w:sz="8" w:space="0" w:color="0070C0"/>
            </w:tcBorders>
            <w:shd w:val="clear" w:color="auto" w:fill="D9D9D9"/>
            <w:tcMar>
              <w:top w:w="0" w:type="dxa"/>
              <w:left w:w="108" w:type="dxa"/>
              <w:bottom w:w="0" w:type="dxa"/>
              <w:right w:w="108" w:type="dxa"/>
            </w:tcMar>
            <w:vAlign w:val="center"/>
            <w:hideMark/>
          </w:tcPr>
          <w:p w14:paraId="16ED1E3C" w14:textId="77777777" w:rsidR="00BB1902" w:rsidRPr="009C0CDB" w:rsidRDefault="00BB1902" w:rsidP="00BB1902">
            <w:pPr>
              <w:jc w:val="center"/>
              <w:rPr>
                <w:b/>
                <w:bCs/>
                <w:color w:val="002060"/>
              </w:rPr>
            </w:pPr>
            <w:r w:rsidRPr="009C0CDB">
              <w:rPr>
                <w:b/>
                <w:bCs/>
                <w:color w:val="002060"/>
              </w:rPr>
              <w:t>PPP Concession:  M4</w:t>
            </w:r>
          </w:p>
        </w:tc>
      </w:tr>
      <w:tr w:rsidR="00BB1902" w:rsidRPr="009C0CDB" w14:paraId="4AA24E97" w14:textId="77777777" w:rsidTr="00BB1902">
        <w:trPr>
          <w:trHeight w:val="315"/>
        </w:trPr>
        <w:tc>
          <w:tcPr>
            <w:tcW w:w="2960" w:type="dxa"/>
            <w:tcBorders>
              <w:top w:val="nil"/>
              <w:left w:val="single" w:sz="8" w:space="0" w:color="0070C0"/>
              <w:bottom w:val="nil"/>
              <w:right w:val="nil"/>
            </w:tcBorders>
            <w:tcMar>
              <w:top w:w="0" w:type="dxa"/>
              <w:left w:w="108" w:type="dxa"/>
              <w:bottom w:w="0" w:type="dxa"/>
              <w:right w:w="108" w:type="dxa"/>
            </w:tcMar>
            <w:vAlign w:val="center"/>
            <w:hideMark/>
          </w:tcPr>
          <w:p w14:paraId="1CBEFC86" w14:textId="77777777" w:rsidR="00BB1902" w:rsidRPr="009C0CDB" w:rsidRDefault="00BB1902" w:rsidP="00BB1902">
            <w:pPr>
              <w:rPr>
                <w:b/>
                <w:bCs/>
              </w:rPr>
            </w:pPr>
            <w:r w:rsidRPr="009C0CDB">
              <w:rPr>
                <w:b/>
                <w:bCs/>
              </w:rPr>
              <w:t>Motorcycle</w:t>
            </w:r>
          </w:p>
        </w:tc>
        <w:tc>
          <w:tcPr>
            <w:tcW w:w="3405" w:type="dxa"/>
            <w:tcBorders>
              <w:top w:val="nil"/>
              <w:left w:val="single" w:sz="8" w:space="0" w:color="0070C0"/>
              <w:bottom w:val="nil"/>
              <w:right w:val="single" w:sz="8" w:space="0" w:color="BFBFBF"/>
            </w:tcBorders>
            <w:tcMar>
              <w:top w:w="0" w:type="dxa"/>
              <w:left w:w="108" w:type="dxa"/>
              <w:bottom w:w="0" w:type="dxa"/>
              <w:right w:w="108" w:type="dxa"/>
            </w:tcMar>
            <w:vAlign w:val="center"/>
            <w:hideMark/>
          </w:tcPr>
          <w:p w14:paraId="65EA6F5A" w14:textId="77777777" w:rsidR="00BB1902" w:rsidRPr="009C0CDB" w:rsidRDefault="00BB1902" w:rsidP="00BB1902">
            <w:pPr>
              <w:jc w:val="center"/>
            </w:pPr>
            <w:r w:rsidRPr="009C0CDB">
              <w:t>€1.50</w:t>
            </w:r>
          </w:p>
        </w:tc>
        <w:tc>
          <w:tcPr>
            <w:tcW w:w="3406" w:type="dxa"/>
            <w:tcBorders>
              <w:top w:val="nil"/>
              <w:left w:val="nil"/>
              <w:bottom w:val="nil"/>
              <w:right w:val="single" w:sz="8" w:space="0" w:color="0070C0"/>
            </w:tcBorders>
            <w:shd w:val="clear" w:color="auto" w:fill="E2EFD9"/>
            <w:tcMar>
              <w:top w:w="0" w:type="dxa"/>
              <w:left w:w="108" w:type="dxa"/>
              <w:bottom w:w="0" w:type="dxa"/>
              <w:right w:w="108" w:type="dxa"/>
            </w:tcMar>
            <w:vAlign w:val="center"/>
            <w:hideMark/>
          </w:tcPr>
          <w:p w14:paraId="6DBEC541" w14:textId="77777777" w:rsidR="00BB1902" w:rsidRPr="009C0CDB" w:rsidRDefault="00BB1902" w:rsidP="00BB1902">
            <w:pPr>
              <w:jc w:val="center"/>
            </w:pPr>
            <w:r w:rsidRPr="009C0CDB">
              <w:rPr>
                <w:color w:val="000000"/>
              </w:rPr>
              <w:t>€1.70</w:t>
            </w:r>
          </w:p>
        </w:tc>
      </w:tr>
      <w:tr w:rsidR="00BB1902" w:rsidRPr="009C0CDB" w14:paraId="234A3839" w14:textId="77777777" w:rsidTr="00BB1902">
        <w:trPr>
          <w:trHeight w:val="270"/>
        </w:trPr>
        <w:tc>
          <w:tcPr>
            <w:tcW w:w="2960" w:type="dxa"/>
            <w:tcBorders>
              <w:top w:val="nil"/>
              <w:left w:val="single" w:sz="8" w:space="0" w:color="0070C0"/>
              <w:bottom w:val="nil"/>
              <w:right w:val="nil"/>
            </w:tcBorders>
            <w:tcMar>
              <w:top w:w="0" w:type="dxa"/>
              <w:left w:w="108" w:type="dxa"/>
              <w:bottom w:w="0" w:type="dxa"/>
              <w:right w:w="108" w:type="dxa"/>
            </w:tcMar>
            <w:vAlign w:val="center"/>
            <w:hideMark/>
          </w:tcPr>
          <w:p w14:paraId="4FADD9FC" w14:textId="77777777" w:rsidR="00BB1902" w:rsidRPr="009C0CDB" w:rsidRDefault="00BB1902" w:rsidP="00BB1902">
            <w:pPr>
              <w:rPr>
                <w:b/>
                <w:bCs/>
              </w:rPr>
            </w:pPr>
            <w:r w:rsidRPr="009C0CDB">
              <w:rPr>
                <w:b/>
                <w:bCs/>
              </w:rPr>
              <w:t>Car</w:t>
            </w:r>
          </w:p>
        </w:tc>
        <w:tc>
          <w:tcPr>
            <w:tcW w:w="3405" w:type="dxa"/>
            <w:tcBorders>
              <w:top w:val="nil"/>
              <w:left w:val="single" w:sz="8" w:space="0" w:color="0070C0"/>
              <w:bottom w:val="nil"/>
              <w:right w:val="single" w:sz="8" w:space="0" w:color="BFBFBF"/>
            </w:tcBorders>
            <w:tcMar>
              <w:top w:w="0" w:type="dxa"/>
              <w:left w:w="108" w:type="dxa"/>
              <w:bottom w:w="0" w:type="dxa"/>
              <w:right w:w="108" w:type="dxa"/>
            </w:tcMar>
            <w:vAlign w:val="center"/>
            <w:hideMark/>
          </w:tcPr>
          <w:p w14:paraId="5B907E4C" w14:textId="77777777" w:rsidR="00BB1902" w:rsidRPr="009C0CDB" w:rsidRDefault="00BB1902" w:rsidP="00BB1902">
            <w:pPr>
              <w:jc w:val="center"/>
            </w:pPr>
            <w:r w:rsidRPr="009C0CDB">
              <w:t>€3.00</w:t>
            </w:r>
          </w:p>
        </w:tc>
        <w:tc>
          <w:tcPr>
            <w:tcW w:w="3406" w:type="dxa"/>
            <w:tcBorders>
              <w:top w:val="nil"/>
              <w:left w:val="nil"/>
              <w:bottom w:val="nil"/>
              <w:right w:val="single" w:sz="8" w:space="0" w:color="0070C0"/>
            </w:tcBorders>
            <w:shd w:val="clear" w:color="auto" w:fill="E2EFD9"/>
            <w:tcMar>
              <w:top w:w="0" w:type="dxa"/>
              <w:left w:w="108" w:type="dxa"/>
              <w:bottom w:w="0" w:type="dxa"/>
              <w:right w:w="108" w:type="dxa"/>
            </w:tcMar>
            <w:vAlign w:val="center"/>
            <w:hideMark/>
          </w:tcPr>
          <w:p w14:paraId="514A1D13" w14:textId="77777777" w:rsidR="00BB1902" w:rsidRPr="009C0CDB" w:rsidRDefault="00BB1902" w:rsidP="00BB1902">
            <w:pPr>
              <w:jc w:val="center"/>
            </w:pPr>
            <w:r w:rsidRPr="009C0CDB">
              <w:rPr>
                <w:color w:val="000000"/>
              </w:rPr>
              <w:t>€3.20</w:t>
            </w:r>
          </w:p>
        </w:tc>
      </w:tr>
      <w:tr w:rsidR="00BB1902" w:rsidRPr="009C0CDB" w14:paraId="3D36BC37" w14:textId="77777777" w:rsidTr="00BB1902">
        <w:trPr>
          <w:trHeight w:val="270"/>
        </w:trPr>
        <w:tc>
          <w:tcPr>
            <w:tcW w:w="2960" w:type="dxa"/>
            <w:tcBorders>
              <w:top w:val="nil"/>
              <w:left w:val="single" w:sz="8" w:space="0" w:color="0070C0"/>
              <w:bottom w:val="nil"/>
              <w:right w:val="nil"/>
            </w:tcBorders>
            <w:tcMar>
              <w:top w:w="0" w:type="dxa"/>
              <w:left w:w="108" w:type="dxa"/>
              <w:bottom w:w="0" w:type="dxa"/>
              <w:right w:w="108" w:type="dxa"/>
            </w:tcMar>
            <w:vAlign w:val="center"/>
            <w:hideMark/>
          </w:tcPr>
          <w:p w14:paraId="715B9FC5" w14:textId="77777777" w:rsidR="00BB1902" w:rsidRPr="009C0CDB" w:rsidRDefault="00BB1902" w:rsidP="00BB1902">
            <w:pPr>
              <w:rPr>
                <w:b/>
                <w:bCs/>
              </w:rPr>
            </w:pPr>
            <w:r w:rsidRPr="009C0CDB">
              <w:rPr>
                <w:b/>
                <w:bCs/>
              </w:rPr>
              <w:t>Bus</w:t>
            </w:r>
          </w:p>
        </w:tc>
        <w:tc>
          <w:tcPr>
            <w:tcW w:w="3405" w:type="dxa"/>
            <w:tcBorders>
              <w:top w:val="nil"/>
              <w:left w:val="single" w:sz="8" w:space="0" w:color="0070C0"/>
              <w:bottom w:val="nil"/>
              <w:right w:val="single" w:sz="8" w:space="0" w:color="BFBFBF"/>
            </w:tcBorders>
            <w:tcMar>
              <w:top w:w="0" w:type="dxa"/>
              <w:left w:w="108" w:type="dxa"/>
              <w:bottom w:w="0" w:type="dxa"/>
              <w:right w:w="108" w:type="dxa"/>
            </w:tcMar>
            <w:vAlign w:val="center"/>
            <w:hideMark/>
          </w:tcPr>
          <w:p w14:paraId="630D4A31" w14:textId="77777777" w:rsidR="00BB1902" w:rsidRPr="009C0CDB" w:rsidRDefault="00BB1902" w:rsidP="00BB1902">
            <w:pPr>
              <w:jc w:val="center"/>
            </w:pPr>
            <w:r w:rsidRPr="009C0CDB">
              <w:t>€4.50</w:t>
            </w:r>
          </w:p>
        </w:tc>
        <w:tc>
          <w:tcPr>
            <w:tcW w:w="3406" w:type="dxa"/>
            <w:tcBorders>
              <w:top w:val="nil"/>
              <w:left w:val="nil"/>
              <w:bottom w:val="nil"/>
              <w:right w:val="single" w:sz="8" w:space="0" w:color="0070C0"/>
            </w:tcBorders>
            <w:shd w:val="clear" w:color="auto" w:fill="E2EFD9"/>
            <w:tcMar>
              <w:top w:w="0" w:type="dxa"/>
              <w:left w:w="108" w:type="dxa"/>
              <w:bottom w:w="0" w:type="dxa"/>
              <w:right w:w="108" w:type="dxa"/>
            </w:tcMar>
            <w:vAlign w:val="center"/>
            <w:hideMark/>
          </w:tcPr>
          <w:p w14:paraId="0FE41CEF" w14:textId="77777777" w:rsidR="00BB1902" w:rsidRPr="009C0CDB" w:rsidRDefault="00BB1902" w:rsidP="00BB1902">
            <w:pPr>
              <w:jc w:val="center"/>
            </w:pPr>
            <w:r w:rsidRPr="009C0CDB">
              <w:rPr>
                <w:color w:val="000000"/>
              </w:rPr>
              <w:t>€4.90</w:t>
            </w:r>
          </w:p>
        </w:tc>
      </w:tr>
      <w:tr w:rsidR="00BB1902" w:rsidRPr="009C0CDB" w14:paraId="20EEFC3C" w14:textId="77777777" w:rsidTr="00BB1902">
        <w:trPr>
          <w:trHeight w:val="255"/>
        </w:trPr>
        <w:tc>
          <w:tcPr>
            <w:tcW w:w="2960" w:type="dxa"/>
            <w:tcBorders>
              <w:top w:val="nil"/>
              <w:left w:val="single" w:sz="8" w:space="0" w:color="0070C0"/>
              <w:bottom w:val="nil"/>
              <w:right w:val="nil"/>
            </w:tcBorders>
            <w:tcMar>
              <w:top w:w="0" w:type="dxa"/>
              <w:left w:w="108" w:type="dxa"/>
              <w:bottom w:w="0" w:type="dxa"/>
              <w:right w:w="108" w:type="dxa"/>
            </w:tcMar>
            <w:vAlign w:val="center"/>
            <w:hideMark/>
          </w:tcPr>
          <w:p w14:paraId="77DF5714" w14:textId="77777777" w:rsidR="00BB1902" w:rsidRPr="009C0CDB" w:rsidRDefault="00BB1902" w:rsidP="00BB1902">
            <w:pPr>
              <w:rPr>
                <w:b/>
                <w:bCs/>
              </w:rPr>
            </w:pPr>
            <w:r w:rsidRPr="009C0CDB">
              <w:rPr>
                <w:b/>
                <w:bCs/>
              </w:rPr>
              <w:t xml:space="preserve">LGV </w:t>
            </w:r>
          </w:p>
        </w:tc>
        <w:tc>
          <w:tcPr>
            <w:tcW w:w="3405" w:type="dxa"/>
            <w:tcBorders>
              <w:top w:val="nil"/>
              <w:left w:val="single" w:sz="8" w:space="0" w:color="0070C0"/>
              <w:bottom w:val="nil"/>
              <w:right w:val="single" w:sz="8" w:space="0" w:color="BFBFBF"/>
            </w:tcBorders>
            <w:tcMar>
              <w:top w:w="0" w:type="dxa"/>
              <w:left w:w="108" w:type="dxa"/>
              <w:bottom w:w="0" w:type="dxa"/>
              <w:right w:w="108" w:type="dxa"/>
            </w:tcMar>
            <w:vAlign w:val="center"/>
            <w:hideMark/>
          </w:tcPr>
          <w:p w14:paraId="4E1C96F2" w14:textId="77777777" w:rsidR="00BB1902" w:rsidRPr="009C0CDB" w:rsidRDefault="00BB1902" w:rsidP="00BB1902">
            <w:pPr>
              <w:jc w:val="center"/>
            </w:pPr>
            <w:r w:rsidRPr="009C0CDB">
              <w:t>€4.50</w:t>
            </w:r>
          </w:p>
        </w:tc>
        <w:tc>
          <w:tcPr>
            <w:tcW w:w="3406" w:type="dxa"/>
            <w:tcBorders>
              <w:top w:val="nil"/>
              <w:left w:val="nil"/>
              <w:bottom w:val="nil"/>
              <w:right w:val="single" w:sz="8" w:space="0" w:color="0070C0"/>
            </w:tcBorders>
            <w:shd w:val="clear" w:color="auto" w:fill="E2EFD9"/>
            <w:tcMar>
              <w:top w:w="0" w:type="dxa"/>
              <w:left w:w="108" w:type="dxa"/>
              <w:bottom w:w="0" w:type="dxa"/>
              <w:right w:w="108" w:type="dxa"/>
            </w:tcMar>
            <w:vAlign w:val="center"/>
            <w:hideMark/>
          </w:tcPr>
          <w:p w14:paraId="39D7A558" w14:textId="77777777" w:rsidR="00BB1902" w:rsidRPr="009C0CDB" w:rsidRDefault="00BB1902" w:rsidP="00BB1902">
            <w:pPr>
              <w:jc w:val="center"/>
            </w:pPr>
            <w:r w:rsidRPr="009C0CDB">
              <w:rPr>
                <w:color w:val="000000"/>
              </w:rPr>
              <w:t>€4.90</w:t>
            </w:r>
          </w:p>
        </w:tc>
      </w:tr>
      <w:tr w:rsidR="00BB1902" w:rsidRPr="009C0CDB" w14:paraId="51A856C7" w14:textId="77777777" w:rsidTr="00BB1902">
        <w:trPr>
          <w:trHeight w:val="255"/>
        </w:trPr>
        <w:tc>
          <w:tcPr>
            <w:tcW w:w="2960" w:type="dxa"/>
            <w:tcBorders>
              <w:top w:val="nil"/>
              <w:left w:val="single" w:sz="8" w:space="0" w:color="0070C0"/>
              <w:bottom w:val="nil"/>
              <w:right w:val="nil"/>
            </w:tcBorders>
            <w:tcMar>
              <w:top w:w="0" w:type="dxa"/>
              <w:left w:w="108" w:type="dxa"/>
              <w:bottom w:w="0" w:type="dxa"/>
              <w:right w:w="108" w:type="dxa"/>
            </w:tcMar>
            <w:vAlign w:val="center"/>
            <w:hideMark/>
          </w:tcPr>
          <w:p w14:paraId="0B4F466B" w14:textId="77777777" w:rsidR="00BB1902" w:rsidRPr="009C0CDB" w:rsidRDefault="00BB1902" w:rsidP="00BB1902">
            <w:pPr>
              <w:rPr>
                <w:b/>
                <w:bCs/>
              </w:rPr>
            </w:pPr>
            <w:r w:rsidRPr="009C0CDB">
              <w:rPr>
                <w:b/>
                <w:bCs/>
              </w:rPr>
              <w:t>2/3 Axle</w:t>
            </w:r>
          </w:p>
        </w:tc>
        <w:tc>
          <w:tcPr>
            <w:tcW w:w="3405" w:type="dxa"/>
            <w:tcBorders>
              <w:top w:val="nil"/>
              <w:left w:val="single" w:sz="8" w:space="0" w:color="0070C0"/>
              <w:bottom w:val="nil"/>
              <w:right w:val="single" w:sz="8" w:space="0" w:color="BFBFBF"/>
            </w:tcBorders>
            <w:tcMar>
              <w:top w:w="0" w:type="dxa"/>
              <w:left w:w="108" w:type="dxa"/>
              <w:bottom w:w="0" w:type="dxa"/>
              <w:right w:w="108" w:type="dxa"/>
            </w:tcMar>
            <w:vAlign w:val="center"/>
            <w:hideMark/>
          </w:tcPr>
          <w:p w14:paraId="7B4D2852" w14:textId="77777777" w:rsidR="00BB1902" w:rsidRPr="009C0CDB" w:rsidRDefault="00BB1902" w:rsidP="00BB1902">
            <w:pPr>
              <w:jc w:val="center"/>
            </w:pPr>
            <w:r w:rsidRPr="009C0CDB">
              <w:t>€6.00</w:t>
            </w:r>
          </w:p>
        </w:tc>
        <w:tc>
          <w:tcPr>
            <w:tcW w:w="3406" w:type="dxa"/>
            <w:tcBorders>
              <w:top w:val="nil"/>
              <w:left w:val="nil"/>
              <w:bottom w:val="nil"/>
              <w:right w:val="single" w:sz="8" w:space="0" w:color="0070C0"/>
            </w:tcBorders>
            <w:shd w:val="clear" w:color="auto" w:fill="E2EFD9"/>
            <w:tcMar>
              <w:top w:w="0" w:type="dxa"/>
              <w:left w:w="108" w:type="dxa"/>
              <w:bottom w:w="0" w:type="dxa"/>
              <w:right w:w="108" w:type="dxa"/>
            </w:tcMar>
            <w:vAlign w:val="center"/>
            <w:hideMark/>
          </w:tcPr>
          <w:p w14:paraId="5A10CD7F" w14:textId="77777777" w:rsidR="00BB1902" w:rsidRPr="009C0CDB" w:rsidRDefault="00BB1902" w:rsidP="00BB1902">
            <w:pPr>
              <w:jc w:val="center"/>
            </w:pPr>
            <w:r w:rsidRPr="009C0CDB">
              <w:rPr>
                <w:color w:val="000000"/>
              </w:rPr>
              <w:t>€6.50</w:t>
            </w:r>
          </w:p>
        </w:tc>
      </w:tr>
      <w:tr w:rsidR="00BB1902" w:rsidRPr="009C0CDB" w14:paraId="60720E22" w14:textId="77777777" w:rsidTr="00BB1902">
        <w:trPr>
          <w:trHeight w:val="270"/>
        </w:trPr>
        <w:tc>
          <w:tcPr>
            <w:tcW w:w="2960" w:type="dxa"/>
            <w:tcBorders>
              <w:top w:val="nil"/>
              <w:left w:val="single" w:sz="8" w:space="0" w:color="0070C0"/>
              <w:bottom w:val="single" w:sz="8" w:space="0" w:color="0070C0"/>
              <w:right w:val="nil"/>
            </w:tcBorders>
            <w:tcMar>
              <w:top w:w="0" w:type="dxa"/>
              <w:left w:w="108" w:type="dxa"/>
              <w:bottom w:w="0" w:type="dxa"/>
              <w:right w:w="108" w:type="dxa"/>
            </w:tcMar>
            <w:vAlign w:val="center"/>
            <w:hideMark/>
          </w:tcPr>
          <w:p w14:paraId="421601BC" w14:textId="77777777" w:rsidR="00BB1902" w:rsidRPr="009C0CDB" w:rsidRDefault="00BB1902" w:rsidP="00BB1902">
            <w:pPr>
              <w:rPr>
                <w:b/>
                <w:bCs/>
              </w:rPr>
            </w:pPr>
            <w:r w:rsidRPr="009C0CDB">
              <w:rPr>
                <w:b/>
                <w:bCs/>
              </w:rPr>
              <w:t>4 Axle</w:t>
            </w:r>
          </w:p>
        </w:tc>
        <w:tc>
          <w:tcPr>
            <w:tcW w:w="3405" w:type="dxa"/>
            <w:tcBorders>
              <w:top w:val="nil"/>
              <w:left w:val="single" w:sz="8" w:space="0" w:color="0070C0"/>
              <w:bottom w:val="single" w:sz="8" w:space="0" w:color="0070C0"/>
              <w:right w:val="single" w:sz="8" w:space="0" w:color="BFBFBF"/>
            </w:tcBorders>
            <w:tcMar>
              <w:top w:w="0" w:type="dxa"/>
              <w:left w:w="108" w:type="dxa"/>
              <w:bottom w:w="0" w:type="dxa"/>
              <w:right w:w="108" w:type="dxa"/>
            </w:tcMar>
            <w:vAlign w:val="center"/>
            <w:hideMark/>
          </w:tcPr>
          <w:p w14:paraId="614D6349" w14:textId="77777777" w:rsidR="00BB1902" w:rsidRPr="009C0CDB" w:rsidRDefault="00BB1902" w:rsidP="00BB1902">
            <w:pPr>
              <w:jc w:val="center"/>
            </w:pPr>
            <w:r w:rsidRPr="009C0CDB">
              <w:t>€7.30</w:t>
            </w:r>
          </w:p>
        </w:tc>
        <w:tc>
          <w:tcPr>
            <w:tcW w:w="3406" w:type="dxa"/>
            <w:tcBorders>
              <w:top w:val="nil"/>
              <w:left w:val="nil"/>
              <w:bottom w:val="single" w:sz="8" w:space="0" w:color="0070C0"/>
              <w:right w:val="single" w:sz="8" w:space="0" w:color="0070C0"/>
            </w:tcBorders>
            <w:shd w:val="clear" w:color="auto" w:fill="E2EFD9"/>
            <w:tcMar>
              <w:top w:w="0" w:type="dxa"/>
              <w:left w:w="108" w:type="dxa"/>
              <w:bottom w:w="0" w:type="dxa"/>
              <w:right w:w="108" w:type="dxa"/>
            </w:tcMar>
            <w:vAlign w:val="center"/>
            <w:hideMark/>
          </w:tcPr>
          <w:p w14:paraId="70E6C720" w14:textId="77777777" w:rsidR="00BB1902" w:rsidRPr="009C0CDB" w:rsidRDefault="00BB1902" w:rsidP="00BB1902">
            <w:pPr>
              <w:jc w:val="center"/>
            </w:pPr>
            <w:r w:rsidRPr="009C0CDB">
              <w:rPr>
                <w:color w:val="000000"/>
              </w:rPr>
              <w:t>€7.90</w:t>
            </w:r>
          </w:p>
        </w:tc>
      </w:tr>
    </w:tbl>
    <w:p w14:paraId="53ABA587" w14:textId="77777777" w:rsidR="009D3C59" w:rsidRPr="009C0CDB" w:rsidRDefault="009D3C59" w:rsidP="00E6476A">
      <w:pPr>
        <w:rPr>
          <w:b/>
          <w:bCs/>
          <w:color w:val="002060"/>
        </w:rPr>
      </w:pPr>
    </w:p>
    <w:p w14:paraId="038914CF" w14:textId="77777777" w:rsidR="00B34910" w:rsidRDefault="00B34910" w:rsidP="00E6476A">
      <w:pPr>
        <w:rPr>
          <w:b/>
          <w:bCs/>
          <w:color w:val="002060"/>
        </w:rPr>
      </w:pPr>
    </w:p>
    <w:p w14:paraId="34AEF024" w14:textId="77777777" w:rsidR="00B34910" w:rsidRDefault="00B34910" w:rsidP="00E6476A">
      <w:pPr>
        <w:rPr>
          <w:b/>
          <w:bCs/>
          <w:color w:val="002060"/>
        </w:rPr>
      </w:pPr>
    </w:p>
    <w:p w14:paraId="29FC09B8" w14:textId="363F6BC5" w:rsidR="00E6476A" w:rsidRPr="003B30B7" w:rsidRDefault="00E6476A" w:rsidP="00E6476A">
      <w:pPr>
        <w:rPr>
          <w:b/>
          <w:bCs/>
        </w:rPr>
      </w:pPr>
      <w:r w:rsidRPr="003B30B7">
        <w:rPr>
          <w:b/>
          <w:bCs/>
        </w:rPr>
        <w:t>Dublin Port Tunnel – Remain Unchanged</w:t>
      </w:r>
      <w:r w:rsidR="009D3C59" w:rsidRPr="003B30B7">
        <w:rPr>
          <w:b/>
          <w:bCs/>
        </w:rPr>
        <w:t xml:space="preserve"> (No Increase in 2023)</w:t>
      </w:r>
    </w:p>
    <w:p w14:paraId="3A16447A" w14:textId="77777777" w:rsidR="00B34910" w:rsidRPr="009C0CDB" w:rsidRDefault="00B34910" w:rsidP="00E6476A">
      <w:pPr>
        <w:rPr>
          <w:b/>
          <w:bCs/>
          <w:color w:val="002060"/>
          <w:lang w:eastAsia="en-IE"/>
        </w:rPr>
      </w:pPr>
    </w:p>
    <w:p w14:paraId="450D9715" w14:textId="034DC2FB" w:rsidR="00E6476A" w:rsidRDefault="00E6476A" w:rsidP="00E6476A">
      <w:pPr>
        <w:pStyle w:val="BodyText"/>
        <w:jc w:val="both"/>
        <w:rPr>
          <w:lang w:val="en-US"/>
        </w:rPr>
      </w:pPr>
      <w:r w:rsidRPr="009C0CDB">
        <w:rPr>
          <w:lang w:val="en-US"/>
        </w:rPr>
        <w:t xml:space="preserve">The tolling system for the Dublin Port Tunnel is intended to manage demand at peak times and ensure HGV movements to and from Dublin Port are not impeded with additional traffic and congestion, </w:t>
      </w:r>
      <w:r w:rsidRPr="009C0CDB">
        <w:rPr>
          <w:b/>
          <w:bCs/>
          <w:lang w:val="en-US"/>
        </w:rPr>
        <w:t>(HGV’s travel toll-free through the Dublin Port Tunnel),</w:t>
      </w:r>
      <w:r w:rsidRPr="009C0CDB">
        <w:rPr>
          <w:lang w:val="en-US"/>
        </w:rPr>
        <w:t xml:space="preserve"> there is no current justification for raising the toll charges on non-HGV’s, given the fact that the current arrangements are effective for managing demand.  Any congestion is infrequent and is generally more related to incidents such as road traffic collisions, matches, concerts, and emergency roadworks. TII Board has confirmed there will be no change to the 2023 Appropriate Toll.</w:t>
      </w:r>
    </w:p>
    <w:p w14:paraId="593DD5AC" w14:textId="77777777" w:rsidR="00B34910" w:rsidRPr="009C0CDB" w:rsidRDefault="00B34910" w:rsidP="00E6476A">
      <w:pPr>
        <w:pStyle w:val="BodyText"/>
        <w:jc w:val="both"/>
        <w:rPr>
          <w:lang w:val="en-US"/>
        </w:rPr>
      </w:pPr>
    </w:p>
    <w:tbl>
      <w:tblPr>
        <w:tblpPr w:leftFromText="180" w:rightFromText="180" w:vertAnchor="text" w:horzAnchor="margin" w:tblpXSpec="center" w:tblpY="37"/>
        <w:tblW w:w="11848" w:type="dxa"/>
        <w:tblCellMar>
          <w:left w:w="0" w:type="dxa"/>
          <w:right w:w="0" w:type="dxa"/>
        </w:tblCellMar>
        <w:tblLook w:val="04A0" w:firstRow="1" w:lastRow="0" w:firstColumn="1" w:lastColumn="0" w:noHBand="0" w:noVBand="1"/>
      </w:tblPr>
      <w:tblGrid>
        <w:gridCol w:w="2776"/>
        <w:gridCol w:w="4536"/>
        <w:gridCol w:w="4536"/>
      </w:tblGrid>
      <w:tr w:rsidR="000C0095" w:rsidRPr="009C0CDB" w14:paraId="02002993" w14:textId="77777777" w:rsidTr="000C0095">
        <w:trPr>
          <w:trHeight w:val="300"/>
          <w:tblHeader/>
        </w:trPr>
        <w:tc>
          <w:tcPr>
            <w:tcW w:w="7312" w:type="dxa"/>
            <w:gridSpan w:val="2"/>
            <w:tcBorders>
              <w:top w:val="single" w:sz="8" w:space="0" w:color="0070C0"/>
              <w:left w:val="single" w:sz="8" w:space="0" w:color="0070C0"/>
              <w:bottom w:val="nil"/>
              <w:right w:val="single" w:sz="8" w:space="0" w:color="0070C0"/>
            </w:tcBorders>
            <w:shd w:val="clear" w:color="auto" w:fill="0070C0"/>
            <w:tcMar>
              <w:top w:w="0" w:type="dxa"/>
              <w:left w:w="108" w:type="dxa"/>
              <w:bottom w:w="0" w:type="dxa"/>
              <w:right w:w="108" w:type="dxa"/>
            </w:tcMar>
            <w:vAlign w:val="center"/>
          </w:tcPr>
          <w:p w14:paraId="4AA53CA9" w14:textId="77777777" w:rsidR="000C0095" w:rsidRPr="009C0CDB" w:rsidRDefault="000C0095" w:rsidP="000C0095">
            <w:pPr>
              <w:rPr>
                <w:b/>
                <w:bCs/>
                <w:color w:val="FFFFFF"/>
                <w:lang w:eastAsia="en-IE"/>
              </w:rPr>
            </w:pPr>
          </w:p>
        </w:tc>
        <w:tc>
          <w:tcPr>
            <w:tcW w:w="4536" w:type="dxa"/>
            <w:tcBorders>
              <w:top w:val="single" w:sz="8" w:space="0" w:color="0070C0"/>
              <w:left w:val="nil"/>
              <w:bottom w:val="single" w:sz="8" w:space="0" w:color="0070C0"/>
              <w:right w:val="single" w:sz="8" w:space="0" w:color="0070C0"/>
            </w:tcBorders>
            <w:shd w:val="clear" w:color="auto" w:fill="0070C0"/>
            <w:noWrap/>
            <w:tcMar>
              <w:top w:w="0" w:type="dxa"/>
              <w:left w:w="108" w:type="dxa"/>
              <w:bottom w:w="0" w:type="dxa"/>
              <w:right w:w="108" w:type="dxa"/>
            </w:tcMar>
            <w:vAlign w:val="bottom"/>
            <w:hideMark/>
          </w:tcPr>
          <w:p w14:paraId="401508D2" w14:textId="77777777" w:rsidR="000C0095" w:rsidRPr="009C0CDB" w:rsidRDefault="000C0095" w:rsidP="000C0095">
            <w:pPr>
              <w:jc w:val="center"/>
              <w:rPr>
                <w:b/>
                <w:bCs/>
                <w:color w:val="FFFFFF"/>
              </w:rPr>
            </w:pPr>
            <w:r w:rsidRPr="009C0CDB">
              <w:rPr>
                <w:b/>
                <w:bCs/>
                <w:color w:val="FFFFFF"/>
              </w:rPr>
              <w:t xml:space="preserve">Dublin Tunnel Appropriate Tolls </w:t>
            </w:r>
            <w:r w:rsidRPr="009C0CDB">
              <w:rPr>
                <w:color w:val="FFFFFF"/>
              </w:rPr>
              <w:t>(2010 – 2022)</w:t>
            </w:r>
          </w:p>
        </w:tc>
      </w:tr>
      <w:tr w:rsidR="000C0095" w:rsidRPr="009C0CDB" w14:paraId="111F9664" w14:textId="77777777" w:rsidTr="000C0095">
        <w:trPr>
          <w:trHeight w:val="255"/>
        </w:trPr>
        <w:tc>
          <w:tcPr>
            <w:tcW w:w="2776" w:type="dxa"/>
            <w:tcBorders>
              <w:top w:val="single" w:sz="8" w:space="0" w:color="0070C0"/>
              <w:left w:val="single" w:sz="8" w:space="0" w:color="0070C0"/>
              <w:bottom w:val="nil"/>
              <w:right w:val="nil"/>
            </w:tcBorders>
            <w:tcMar>
              <w:top w:w="0" w:type="dxa"/>
              <w:left w:w="108" w:type="dxa"/>
              <w:bottom w:w="0" w:type="dxa"/>
              <w:right w:w="108" w:type="dxa"/>
            </w:tcMar>
            <w:hideMark/>
          </w:tcPr>
          <w:p w14:paraId="5B47923D" w14:textId="77777777" w:rsidR="000C0095" w:rsidRPr="009C0CDB" w:rsidRDefault="000C0095" w:rsidP="000C0095">
            <w:pPr>
              <w:rPr>
                <w:u w:val="single"/>
              </w:rPr>
            </w:pPr>
            <w:r w:rsidRPr="009C0CDB">
              <w:rPr>
                <w:i/>
                <w:iCs/>
                <w:u w:val="single"/>
              </w:rPr>
              <w:t>Weekday Tolls Non-HGV’s</w:t>
            </w:r>
          </w:p>
        </w:tc>
        <w:tc>
          <w:tcPr>
            <w:tcW w:w="4536" w:type="dxa"/>
            <w:tcBorders>
              <w:top w:val="single" w:sz="8" w:space="0" w:color="0070C0"/>
              <w:left w:val="nil"/>
              <w:bottom w:val="nil"/>
              <w:right w:val="single" w:sz="8" w:space="0" w:color="0070C0"/>
            </w:tcBorders>
            <w:noWrap/>
            <w:tcMar>
              <w:top w:w="0" w:type="dxa"/>
              <w:left w:w="108" w:type="dxa"/>
              <w:bottom w:w="0" w:type="dxa"/>
              <w:right w:w="108" w:type="dxa"/>
            </w:tcMar>
            <w:vAlign w:val="bottom"/>
            <w:hideMark/>
          </w:tcPr>
          <w:p w14:paraId="63C223F3" w14:textId="77777777" w:rsidR="000C0095" w:rsidRPr="009C0CDB" w:rsidRDefault="000C0095" w:rsidP="000C0095">
            <w:pPr>
              <w:rPr>
                <w:u w:val="single"/>
              </w:rPr>
            </w:pPr>
          </w:p>
        </w:tc>
        <w:tc>
          <w:tcPr>
            <w:tcW w:w="4536" w:type="dxa"/>
            <w:tcBorders>
              <w:top w:val="nil"/>
              <w:left w:val="nil"/>
              <w:bottom w:val="nil"/>
              <w:right w:val="single" w:sz="8" w:space="0" w:color="0070C0"/>
            </w:tcBorders>
            <w:noWrap/>
            <w:tcMar>
              <w:top w:w="0" w:type="dxa"/>
              <w:left w:w="108" w:type="dxa"/>
              <w:bottom w:w="0" w:type="dxa"/>
              <w:right w:w="108" w:type="dxa"/>
            </w:tcMar>
            <w:vAlign w:val="bottom"/>
            <w:hideMark/>
          </w:tcPr>
          <w:p w14:paraId="29EA0070" w14:textId="77777777" w:rsidR="000C0095" w:rsidRPr="009C0CDB" w:rsidRDefault="000C0095" w:rsidP="000C0095">
            <w:pPr>
              <w:rPr>
                <w:rFonts w:ascii="Times New Roman" w:eastAsia="Times New Roman" w:hAnsi="Times New Roman" w:cs="Times New Roman"/>
                <w:lang w:eastAsia="en-IE"/>
              </w:rPr>
            </w:pPr>
          </w:p>
        </w:tc>
      </w:tr>
      <w:tr w:rsidR="000C0095" w:rsidRPr="009C0CDB" w14:paraId="60240622" w14:textId="77777777" w:rsidTr="000C0095">
        <w:trPr>
          <w:trHeight w:val="300"/>
        </w:trPr>
        <w:tc>
          <w:tcPr>
            <w:tcW w:w="2776" w:type="dxa"/>
            <w:tcBorders>
              <w:top w:val="nil"/>
              <w:left w:val="single" w:sz="8" w:space="0" w:color="0070C0"/>
              <w:bottom w:val="nil"/>
              <w:right w:val="nil"/>
            </w:tcBorders>
            <w:tcMar>
              <w:top w:w="0" w:type="dxa"/>
              <w:left w:w="108" w:type="dxa"/>
              <w:bottom w:w="0" w:type="dxa"/>
              <w:right w:w="108" w:type="dxa"/>
            </w:tcMar>
            <w:vAlign w:val="center"/>
            <w:hideMark/>
          </w:tcPr>
          <w:p w14:paraId="03D93BAB" w14:textId="77777777" w:rsidR="000C0095" w:rsidRPr="009C0CDB" w:rsidRDefault="000C0095" w:rsidP="000C0095">
            <w:pPr>
              <w:rPr>
                <w:lang w:val="en-US"/>
              </w:rPr>
            </w:pPr>
            <w:r w:rsidRPr="009C0CDB">
              <w:t>Southbound:</w:t>
            </w:r>
          </w:p>
        </w:tc>
        <w:tc>
          <w:tcPr>
            <w:tcW w:w="4536" w:type="dxa"/>
            <w:tcBorders>
              <w:top w:val="nil"/>
              <w:left w:val="nil"/>
              <w:bottom w:val="nil"/>
              <w:right w:val="single" w:sz="8" w:space="0" w:color="0070C0"/>
            </w:tcBorders>
            <w:noWrap/>
            <w:tcMar>
              <w:top w:w="0" w:type="dxa"/>
              <w:left w:w="108" w:type="dxa"/>
              <w:bottom w:w="0" w:type="dxa"/>
              <w:right w:w="108" w:type="dxa"/>
            </w:tcMar>
            <w:vAlign w:val="center"/>
            <w:hideMark/>
          </w:tcPr>
          <w:p w14:paraId="3FD2D195" w14:textId="77777777" w:rsidR="000C0095" w:rsidRPr="009C0CDB" w:rsidRDefault="000C0095" w:rsidP="000C0095">
            <w:r w:rsidRPr="009C0CDB">
              <w:t>06:00 – 10:00</w:t>
            </w:r>
          </w:p>
        </w:tc>
        <w:tc>
          <w:tcPr>
            <w:tcW w:w="4536" w:type="dxa"/>
            <w:tcBorders>
              <w:top w:val="nil"/>
              <w:left w:val="nil"/>
              <w:bottom w:val="nil"/>
              <w:right w:val="single" w:sz="8" w:space="0" w:color="0070C0"/>
            </w:tcBorders>
            <w:noWrap/>
            <w:tcMar>
              <w:top w:w="0" w:type="dxa"/>
              <w:left w:w="108" w:type="dxa"/>
              <w:bottom w:w="0" w:type="dxa"/>
              <w:right w:w="108" w:type="dxa"/>
            </w:tcMar>
            <w:vAlign w:val="center"/>
            <w:hideMark/>
          </w:tcPr>
          <w:p w14:paraId="15BF1F64" w14:textId="77777777" w:rsidR="000C0095" w:rsidRPr="009C0CDB" w:rsidRDefault="000C0095" w:rsidP="000C0095">
            <w:pPr>
              <w:jc w:val="center"/>
            </w:pPr>
            <w:r w:rsidRPr="009C0CDB">
              <w:t>€10.00</w:t>
            </w:r>
          </w:p>
        </w:tc>
      </w:tr>
      <w:tr w:rsidR="000C0095" w:rsidRPr="009C0CDB" w14:paraId="53377814" w14:textId="77777777" w:rsidTr="000C0095">
        <w:trPr>
          <w:trHeight w:val="300"/>
        </w:trPr>
        <w:tc>
          <w:tcPr>
            <w:tcW w:w="2776" w:type="dxa"/>
            <w:tcBorders>
              <w:top w:val="nil"/>
              <w:left w:val="single" w:sz="8" w:space="0" w:color="0070C0"/>
              <w:bottom w:val="nil"/>
              <w:right w:val="nil"/>
            </w:tcBorders>
            <w:tcMar>
              <w:top w:w="0" w:type="dxa"/>
              <w:left w:w="108" w:type="dxa"/>
              <w:bottom w:w="0" w:type="dxa"/>
              <w:right w:w="108" w:type="dxa"/>
            </w:tcMar>
            <w:vAlign w:val="center"/>
          </w:tcPr>
          <w:p w14:paraId="610C3924" w14:textId="77777777" w:rsidR="000C0095" w:rsidRPr="009C0CDB" w:rsidRDefault="000C0095" w:rsidP="000C0095"/>
        </w:tc>
        <w:tc>
          <w:tcPr>
            <w:tcW w:w="4536" w:type="dxa"/>
            <w:tcBorders>
              <w:top w:val="nil"/>
              <w:left w:val="nil"/>
              <w:bottom w:val="nil"/>
              <w:right w:val="single" w:sz="8" w:space="0" w:color="0070C0"/>
            </w:tcBorders>
            <w:noWrap/>
            <w:tcMar>
              <w:top w:w="0" w:type="dxa"/>
              <w:left w:w="108" w:type="dxa"/>
              <w:bottom w:w="0" w:type="dxa"/>
              <w:right w:w="108" w:type="dxa"/>
            </w:tcMar>
            <w:vAlign w:val="center"/>
            <w:hideMark/>
          </w:tcPr>
          <w:p w14:paraId="2CF8FE69" w14:textId="77777777" w:rsidR="000C0095" w:rsidRPr="009C0CDB" w:rsidRDefault="000C0095" w:rsidP="000C0095">
            <w:r w:rsidRPr="009C0CDB">
              <w:t>10:00 – 06:00</w:t>
            </w:r>
          </w:p>
        </w:tc>
        <w:tc>
          <w:tcPr>
            <w:tcW w:w="4536" w:type="dxa"/>
            <w:tcBorders>
              <w:top w:val="nil"/>
              <w:left w:val="nil"/>
              <w:bottom w:val="nil"/>
              <w:right w:val="single" w:sz="8" w:space="0" w:color="0070C0"/>
            </w:tcBorders>
            <w:noWrap/>
            <w:tcMar>
              <w:top w:w="0" w:type="dxa"/>
              <w:left w:w="108" w:type="dxa"/>
              <w:bottom w:w="0" w:type="dxa"/>
              <w:right w:w="108" w:type="dxa"/>
            </w:tcMar>
            <w:vAlign w:val="center"/>
            <w:hideMark/>
          </w:tcPr>
          <w:p w14:paraId="6744BDEF" w14:textId="77777777" w:rsidR="000C0095" w:rsidRPr="009C0CDB" w:rsidRDefault="000C0095" w:rsidP="000C0095">
            <w:pPr>
              <w:jc w:val="center"/>
            </w:pPr>
            <w:r w:rsidRPr="009C0CDB">
              <w:t>€3.00</w:t>
            </w:r>
          </w:p>
        </w:tc>
      </w:tr>
      <w:tr w:rsidR="000C0095" w:rsidRPr="009C0CDB" w14:paraId="22C1DFD2" w14:textId="77777777" w:rsidTr="000C0095">
        <w:trPr>
          <w:trHeight w:val="300"/>
        </w:trPr>
        <w:tc>
          <w:tcPr>
            <w:tcW w:w="2776" w:type="dxa"/>
            <w:tcBorders>
              <w:top w:val="nil"/>
              <w:left w:val="single" w:sz="8" w:space="0" w:color="0070C0"/>
              <w:bottom w:val="nil"/>
              <w:right w:val="nil"/>
            </w:tcBorders>
            <w:tcMar>
              <w:top w:w="0" w:type="dxa"/>
              <w:left w:w="108" w:type="dxa"/>
              <w:bottom w:w="0" w:type="dxa"/>
              <w:right w:w="108" w:type="dxa"/>
            </w:tcMar>
            <w:vAlign w:val="center"/>
            <w:hideMark/>
          </w:tcPr>
          <w:p w14:paraId="12067395" w14:textId="77777777" w:rsidR="000C0095" w:rsidRPr="009C0CDB" w:rsidRDefault="000C0095" w:rsidP="000C0095">
            <w:r w:rsidRPr="009C0CDB">
              <w:t>Northbound:</w:t>
            </w:r>
          </w:p>
        </w:tc>
        <w:tc>
          <w:tcPr>
            <w:tcW w:w="4536" w:type="dxa"/>
            <w:tcBorders>
              <w:top w:val="nil"/>
              <w:left w:val="nil"/>
              <w:bottom w:val="nil"/>
              <w:right w:val="single" w:sz="8" w:space="0" w:color="0070C0"/>
            </w:tcBorders>
            <w:noWrap/>
            <w:tcMar>
              <w:top w:w="0" w:type="dxa"/>
              <w:left w:w="108" w:type="dxa"/>
              <w:bottom w:w="0" w:type="dxa"/>
              <w:right w:w="108" w:type="dxa"/>
            </w:tcMar>
            <w:vAlign w:val="center"/>
            <w:hideMark/>
          </w:tcPr>
          <w:p w14:paraId="1C8CC637" w14:textId="77777777" w:rsidR="000C0095" w:rsidRPr="009C0CDB" w:rsidRDefault="000C0095" w:rsidP="000C0095">
            <w:r w:rsidRPr="009C0CDB">
              <w:t>16:00 – 19:00</w:t>
            </w:r>
          </w:p>
        </w:tc>
        <w:tc>
          <w:tcPr>
            <w:tcW w:w="4536" w:type="dxa"/>
            <w:tcBorders>
              <w:top w:val="nil"/>
              <w:left w:val="nil"/>
              <w:bottom w:val="nil"/>
              <w:right w:val="single" w:sz="8" w:space="0" w:color="0070C0"/>
            </w:tcBorders>
            <w:noWrap/>
            <w:tcMar>
              <w:top w:w="0" w:type="dxa"/>
              <w:left w:w="108" w:type="dxa"/>
              <w:bottom w:w="0" w:type="dxa"/>
              <w:right w:w="108" w:type="dxa"/>
            </w:tcMar>
            <w:vAlign w:val="center"/>
            <w:hideMark/>
          </w:tcPr>
          <w:p w14:paraId="5F9CF077" w14:textId="77777777" w:rsidR="000C0095" w:rsidRPr="009C0CDB" w:rsidRDefault="000C0095" w:rsidP="000C0095">
            <w:pPr>
              <w:jc w:val="center"/>
            </w:pPr>
            <w:r w:rsidRPr="009C0CDB">
              <w:t>€10.00</w:t>
            </w:r>
          </w:p>
        </w:tc>
      </w:tr>
      <w:tr w:rsidR="000C0095" w:rsidRPr="009C0CDB" w14:paraId="5EE42B16" w14:textId="77777777" w:rsidTr="000C0095">
        <w:trPr>
          <w:trHeight w:val="300"/>
        </w:trPr>
        <w:tc>
          <w:tcPr>
            <w:tcW w:w="2776" w:type="dxa"/>
            <w:tcBorders>
              <w:top w:val="nil"/>
              <w:left w:val="single" w:sz="8" w:space="0" w:color="0070C0"/>
              <w:bottom w:val="single" w:sz="8" w:space="0" w:color="BFBFBF"/>
              <w:right w:val="nil"/>
            </w:tcBorders>
            <w:tcMar>
              <w:top w:w="0" w:type="dxa"/>
              <w:left w:w="108" w:type="dxa"/>
              <w:bottom w:w="0" w:type="dxa"/>
              <w:right w:w="108" w:type="dxa"/>
            </w:tcMar>
            <w:vAlign w:val="center"/>
          </w:tcPr>
          <w:p w14:paraId="02B445EC" w14:textId="77777777" w:rsidR="000C0095" w:rsidRPr="009C0CDB" w:rsidRDefault="000C0095" w:rsidP="000C0095"/>
        </w:tc>
        <w:tc>
          <w:tcPr>
            <w:tcW w:w="4536" w:type="dxa"/>
            <w:tcBorders>
              <w:top w:val="nil"/>
              <w:left w:val="nil"/>
              <w:bottom w:val="single" w:sz="8" w:space="0" w:color="BFBFBF"/>
              <w:right w:val="single" w:sz="8" w:space="0" w:color="0070C0"/>
            </w:tcBorders>
            <w:noWrap/>
            <w:tcMar>
              <w:top w:w="0" w:type="dxa"/>
              <w:left w:w="108" w:type="dxa"/>
              <w:bottom w:w="0" w:type="dxa"/>
              <w:right w:w="108" w:type="dxa"/>
            </w:tcMar>
            <w:vAlign w:val="center"/>
            <w:hideMark/>
          </w:tcPr>
          <w:p w14:paraId="58EB1EE9" w14:textId="77777777" w:rsidR="000C0095" w:rsidRPr="009C0CDB" w:rsidRDefault="000C0095" w:rsidP="000C0095">
            <w:r w:rsidRPr="009C0CDB">
              <w:t>19:00 – 16:00</w:t>
            </w:r>
          </w:p>
        </w:tc>
        <w:tc>
          <w:tcPr>
            <w:tcW w:w="4536" w:type="dxa"/>
            <w:tcBorders>
              <w:top w:val="nil"/>
              <w:left w:val="nil"/>
              <w:bottom w:val="single" w:sz="8" w:space="0" w:color="BFBFBF"/>
              <w:right w:val="single" w:sz="8" w:space="0" w:color="0070C0"/>
            </w:tcBorders>
            <w:noWrap/>
            <w:tcMar>
              <w:top w:w="0" w:type="dxa"/>
              <w:left w:w="108" w:type="dxa"/>
              <w:bottom w:w="0" w:type="dxa"/>
              <w:right w:w="108" w:type="dxa"/>
            </w:tcMar>
            <w:vAlign w:val="center"/>
            <w:hideMark/>
          </w:tcPr>
          <w:p w14:paraId="4F0DC8FB" w14:textId="77777777" w:rsidR="000C0095" w:rsidRPr="009C0CDB" w:rsidRDefault="000C0095" w:rsidP="000C0095">
            <w:pPr>
              <w:jc w:val="center"/>
            </w:pPr>
            <w:r w:rsidRPr="009C0CDB">
              <w:t>€3.00</w:t>
            </w:r>
          </w:p>
        </w:tc>
      </w:tr>
      <w:tr w:rsidR="000C0095" w:rsidRPr="009C0CDB" w14:paraId="7FFA3EBE" w14:textId="77777777" w:rsidTr="000C0095">
        <w:trPr>
          <w:trHeight w:val="300"/>
        </w:trPr>
        <w:tc>
          <w:tcPr>
            <w:tcW w:w="2776" w:type="dxa"/>
            <w:tcBorders>
              <w:top w:val="nil"/>
              <w:left w:val="single" w:sz="8" w:space="0" w:color="0070C0"/>
              <w:bottom w:val="nil"/>
              <w:right w:val="nil"/>
            </w:tcBorders>
            <w:tcMar>
              <w:top w:w="0" w:type="dxa"/>
              <w:left w:w="108" w:type="dxa"/>
              <w:bottom w:w="0" w:type="dxa"/>
              <w:right w:w="108" w:type="dxa"/>
            </w:tcMar>
            <w:vAlign w:val="center"/>
            <w:hideMark/>
          </w:tcPr>
          <w:p w14:paraId="7255C607" w14:textId="77777777" w:rsidR="000C0095" w:rsidRPr="009C0CDB" w:rsidRDefault="000C0095" w:rsidP="000C0095">
            <w:r w:rsidRPr="009C0CDB">
              <w:rPr>
                <w:i/>
                <w:iCs/>
                <w:u w:val="single"/>
              </w:rPr>
              <w:t>Saturday &amp; Sunday Toll Non-HGV’s</w:t>
            </w:r>
          </w:p>
        </w:tc>
        <w:tc>
          <w:tcPr>
            <w:tcW w:w="4536" w:type="dxa"/>
            <w:tcBorders>
              <w:top w:val="nil"/>
              <w:left w:val="nil"/>
              <w:bottom w:val="nil"/>
              <w:right w:val="single" w:sz="8" w:space="0" w:color="0070C0"/>
            </w:tcBorders>
            <w:noWrap/>
            <w:tcMar>
              <w:top w:w="0" w:type="dxa"/>
              <w:left w:w="108" w:type="dxa"/>
              <w:bottom w:w="0" w:type="dxa"/>
              <w:right w:w="108" w:type="dxa"/>
            </w:tcMar>
            <w:vAlign w:val="center"/>
          </w:tcPr>
          <w:p w14:paraId="5F9AEEFB" w14:textId="77777777" w:rsidR="000C0095" w:rsidRPr="009C0CDB" w:rsidRDefault="000C0095" w:rsidP="000C0095"/>
        </w:tc>
        <w:tc>
          <w:tcPr>
            <w:tcW w:w="4536" w:type="dxa"/>
            <w:tcBorders>
              <w:top w:val="nil"/>
              <w:left w:val="nil"/>
              <w:bottom w:val="nil"/>
              <w:right w:val="single" w:sz="8" w:space="0" w:color="0070C0"/>
            </w:tcBorders>
            <w:noWrap/>
            <w:tcMar>
              <w:top w:w="0" w:type="dxa"/>
              <w:left w:w="108" w:type="dxa"/>
              <w:bottom w:w="0" w:type="dxa"/>
              <w:right w:w="108" w:type="dxa"/>
            </w:tcMar>
            <w:vAlign w:val="center"/>
          </w:tcPr>
          <w:p w14:paraId="55CEF783" w14:textId="77777777" w:rsidR="000C0095" w:rsidRPr="009C0CDB" w:rsidRDefault="000C0095" w:rsidP="000C0095">
            <w:pPr>
              <w:jc w:val="center"/>
            </w:pPr>
          </w:p>
        </w:tc>
      </w:tr>
      <w:tr w:rsidR="000C0095" w:rsidRPr="009C0CDB" w14:paraId="6A44CC59" w14:textId="77777777" w:rsidTr="000C0095">
        <w:trPr>
          <w:trHeight w:val="300"/>
        </w:trPr>
        <w:tc>
          <w:tcPr>
            <w:tcW w:w="2776" w:type="dxa"/>
            <w:tcBorders>
              <w:top w:val="nil"/>
              <w:left w:val="single" w:sz="8" w:space="0" w:color="0070C0"/>
              <w:bottom w:val="nil"/>
              <w:right w:val="nil"/>
            </w:tcBorders>
            <w:tcMar>
              <w:top w:w="0" w:type="dxa"/>
              <w:left w:w="108" w:type="dxa"/>
              <w:bottom w:w="0" w:type="dxa"/>
              <w:right w:w="108" w:type="dxa"/>
            </w:tcMar>
            <w:vAlign w:val="center"/>
            <w:hideMark/>
          </w:tcPr>
          <w:p w14:paraId="3E45FD47" w14:textId="77777777" w:rsidR="000C0095" w:rsidRPr="009C0CDB" w:rsidRDefault="000C0095" w:rsidP="000C0095">
            <w:r w:rsidRPr="009C0CDB">
              <w:t>Northbound/Southbound:</w:t>
            </w:r>
          </w:p>
        </w:tc>
        <w:tc>
          <w:tcPr>
            <w:tcW w:w="4536" w:type="dxa"/>
            <w:tcBorders>
              <w:top w:val="nil"/>
              <w:left w:val="nil"/>
              <w:bottom w:val="nil"/>
              <w:right w:val="single" w:sz="8" w:space="0" w:color="0070C0"/>
            </w:tcBorders>
            <w:noWrap/>
            <w:tcMar>
              <w:top w:w="0" w:type="dxa"/>
              <w:left w:w="108" w:type="dxa"/>
              <w:bottom w:w="0" w:type="dxa"/>
              <w:right w:w="108" w:type="dxa"/>
            </w:tcMar>
            <w:vAlign w:val="center"/>
            <w:hideMark/>
          </w:tcPr>
          <w:p w14:paraId="1E12692F" w14:textId="77777777" w:rsidR="000C0095" w:rsidRPr="009C0CDB" w:rsidRDefault="000C0095" w:rsidP="000C0095">
            <w:r w:rsidRPr="009C0CDB">
              <w:t>All day</w:t>
            </w:r>
          </w:p>
        </w:tc>
        <w:tc>
          <w:tcPr>
            <w:tcW w:w="4536" w:type="dxa"/>
            <w:tcBorders>
              <w:top w:val="nil"/>
              <w:left w:val="nil"/>
              <w:bottom w:val="nil"/>
              <w:right w:val="single" w:sz="8" w:space="0" w:color="0070C0"/>
            </w:tcBorders>
            <w:noWrap/>
            <w:tcMar>
              <w:top w:w="0" w:type="dxa"/>
              <w:left w:w="108" w:type="dxa"/>
              <w:bottom w:w="0" w:type="dxa"/>
              <w:right w:w="108" w:type="dxa"/>
            </w:tcMar>
            <w:vAlign w:val="center"/>
            <w:hideMark/>
          </w:tcPr>
          <w:p w14:paraId="4359E220" w14:textId="77777777" w:rsidR="000C0095" w:rsidRPr="009C0CDB" w:rsidRDefault="000C0095" w:rsidP="000C0095">
            <w:pPr>
              <w:jc w:val="center"/>
            </w:pPr>
            <w:r w:rsidRPr="009C0CDB">
              <w:t>€3.00</w:t>
            </w:r>
          </w:p>
        </w:tc>
      </w:tr>
      <w:tr w:rsidR="000C0095" w:rsidRPr="009C0CDB" w14:paraId="51F11330" w14:textId="77777777" w:rsidTr="000C0095">
        <w:trPr>
          <w:trHeight w:val="300"/>
        </w:trPr>
        <w:tc>
          <w:tcPr>
            <w:tcW w:w="2776" w:type="dxa"/>
            <w:tcBorders>
              <w:top w:val="nil"/>
              <w:left w:val="single" w:sz="8" w:space="0" w:color="0070C0"/>
              <w:bottom w:val="single" w:sz="8" w:space="0" w:color="0070C0"/>
              <w:right w:val="nil"/>
            </w:tcBorders>
            <w:tcMar>
              <w:top w:w="0" w:type="dxa"/>
              <w:left w:w="108" w:type="dxa"/>
              <w:bottom w:w="0" w:type="dxa"/>
              <w:right w:w="108" w:type="dxa"/>
            </w:tcMar>
            <w:vAlign w:val="center"/>
          </w:tcPr>
          <w:p w14:paraId="6C6073A8" w14:textId="77777777" w:rsidR="000C0095" w:rsidRPr="009C0CDB" w:rsidRDefault="000C0095" w:rsidP="000C0095"/>
        </w:tc>
        <w:tc>
          <w:tcPr>
            <w:tcW w:w="4536" w:type="dxa"/>
            <w:tcBorders>
              <w:top w:val="nil"/>
              <w:left w:val="nil"/>
              <w:bottom w:val="single" w:sz="8" w:space="0" w:color="0070C0"/>
              <w:right w:val="single" w:sz="8" w:space="0" w:color="0070C0"/>
            </w:tcBorders>
            <w:noWrap/>
            <w:tcMar>
              <w:top w:w="0" w:type="dxa"/>
              <w:left w:w="108" w:type="dxa"/>
              <w:bottom w:w="0" w:type="dxa"/>
              <w:right w:w="108" w:type="dxa"/>
            </w:tcMar>
            <w:vAlign w:val="center"/>
          </w:tcPr>
          <w:p w14:paraId="4B41E180" w14:textId="77777777" w:rsidR="000C0095" w:rsidRPr="009C0CDB" w:rsidRDefault="000C0095" w:rsidP="000C0095"/>
        </w:tc>
        <w:tc>
          <w:tcPr>
            <w:tcW w:w="4536" w:type="dxa"/>
            <w:tcBorders>
              <w:top w:val="nil"/>
              <w:left w:val="nil"/>
              <w:bottom w:val="single" w:sz="8" w:space="0" w:color="0070C0"/>
              <w:right w:val="single" w:sz="8" w:space="0" w:color="0070C0"/>
            </w:tcBorders>
            <w:noWrap/>
            <w:tcMar>
              <w:top w:w="0" w:type="dxa"/>
              <w:left w:w="108" w:type="dxa"/>
              <w:bottom w:w="0" w:type="dxa"/>
              <w:right w:w="108" w:type="dxa"/>
            </w:tcMar>
            <w:vAlign w:val="center"/>
          </w:tcPr>
          <w:p w14:paraId="3974D3E0" w14:textId="77777777" w:rsidR="000C0095" w:rsidRPr="009C0CDB" w:rsidRDefault="000C0095" w:rsidP="000C0095">
            <w:pPr>
              <w:jc w:val="center"/>
            </w:pPr>
          </w:p>
        </w:tc>
      </w:tr>
    </w:tbl>
    <w:p w14:paraId="76AC3408" w14:textId="77777777" w:rsidR="00E6476A" w:rsidRPr="009C0CDB" w:rsidRDefault="00E6476A" w:rsidP="00E6476A">
      <w:pPr>
        <w:keepNext/>
        <w:jc w:val="both"/>
        <w:rPr>
          <w:color w:val="002060"/>
        </w:rPr>
      </w:pPr>
    </w:p>
    <w:p w14:paraId="6BB26509" w14:textId="77777777" w:rsidR="00E6476A" w:rsidRPr="009C0CDB" w:rsidRDefault="00E6476A" w:rsidP="009D3C59">
      <w:pPr>
        <w:jc w:val="center"/>
        <w:rPr>
          <w:b/>
          <w:bCs/>
        </w:rPr>
      </w:pPr>
      <w:r w:rsidRPr="009C0CDB">
        <w:rPr>
          <w:b/>
          <w:bCs/>
        </w:rPr>
        <w:t>-END-</w:t>
      </w:r>
    </w:p>
    <w:p w14:paraId="35DAFE56" w14:textId="77777777" w:rsidR="00E6476A" w:rsidRDefault="00E6476A" w:rsidP="00E6476A"/>
    <w:p w14:paraId="6EE1D54E" w14:textId="22C07097" w:rsidR="00824FC2" w:rsidRDefault="00824FC2" w:rsidP="00E6476A"/>
    <w:sectPr w:rsidR="00824F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1CE3"/>
    <w:multiLevelType w:val="hybridMultilevel"/>
    <w:tmpl w:val="55FE72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73085B76"/>
    <w:multiLevelType w:val="multilevel"/>
    <w:tmpl w:val="5EB84B5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59446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36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09"/>
    <w:rsid w:val="00015D05"/>
    <w:rsid w:val="000C0095"/>
    <w:rsid w:val="000E7244"/>
    <w:rsid w:val="00107606"/>
    <w:rsid w:val="003B30B7"/>
    <w:rsid w:val="003E64CA"/>
    <w:rsid w:val="00756DC4"/>
    <w:rsid w:val="00824FC2"/>
    <w:rsid w:val="0094509A"/>
    <w:rsid w:val="009A1304"/>
    <w:rsid w:val="009B6F55"/>
    <w:rsid w:val="009C0CDB"/>
    <w:rsid w:val="009D3C59"/>
    <w:rsid w:val="00A77D0C"/>
    <w:rsid w:val="00B34910"/>
    <w:rsid w:val="00BB1902"/>
    <w:rsid w:val="00C05109"/>
    <w:rsid w:val="00D0015E"/>
    <w:rsid w:val="00D25B19"/>
    <w:rsid w:val="00E6476A"/>
    <w:rsid w:val="00EA1A11"/>
    <w:rsid w:val="00EC11EE"/>
    <w:rsid w:val="00FC3BEB"/>
    <w:rsid w:val="00FD68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C8A3"/>
  <w15:chartTrackingRefBased/>
  <w15:docId w15:val="{4FA51A56-B6D7-45E7-B6EF-F1635C39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76A"/>
    <w:pPr>
      <w:spacing w:after="0" w:line="240" w:lineRule="auto"/>
    </w:pPr>
    <w:rPr>
      <w:rFonts w:ascii="Calibri" w:hAnsi="Calibri" w:cs="Calibri"/>
    </w:rPr>
  </w:style>
  <w:style w:type="paragraph" w:styleId="Heading1">
    <w:name w:val="heading 1"/>
    <w:basedOn w:val="Normal"/>
    <w:link w:val="Heading1Char"/>
    <w:uiPriority w:val="9"/>
    <w:qFormat/>
    <w:rsid w:val="00E6476A"/>
    <w:pPr>
      <w:numPr>
        <w:numId w:val="1"/>
      </w:numPr>
      <w:contextualSpacing/>
      <w:outlineLvl w:val="0"/>
    </w:pPr>
    <w:rPr>
      <w:rFonts w:ascii="Calibri Light" w:hAnsi="Calibri Light" w:cs="Calibri Light"/>
      <w:b/>
      <w:bCs/>
      <w:kern w:val="36"/>
      <w:lang w:eastAsia="en-IE"/>
    </w:rPr>
  </w:style>
  <w:style w:type="paragraph" w:styleId="Heading2">
    <w:name w:val="heading 2"/>
    <w:aliases w:val="QA-Heading 2"/>
    <w:basedOn w:val="Normal"/>
    <w:link w:val="Heading2Char"/>
    <w:uiPriority w:val="9"/>
    <w:semiHidden/>
    <w:unhideWhenUsed/>
    <w:qFormat/>
    <w:rsid w:val="00E6476A"/>
    <w:pPr>
      <w:numPr>
        <w:ilvl w:val="1"/>
        <w:numId w:val="1"/>
      </w:numPr>
      <w:spacing w:before="200" w:after="240" w:line="276" w:lineRule="auto"/>
      <w:outlineLvl w:val="1"/>
    </w:pPr>
    <w:rPr>
      <w:lang w:eastAsia="en-IE"/>
    </w:rPr>
  </w:style>
  <w:style w:type="paragraph" w:styleId="Heading3">
    <w:name w:val="heading 3"/>
    <w:aliases w:val="QA-Heading 3"/>
    <w:basedOn w:val="Normal"/>
    <w:link w:val="Heading3Char"/>
    <w:uiPriority w:val="9"/>
    <w:semiHidden/>
    <w:unhideWhenUsed/>
    <w:qFormat/>
    <w:rsid w:val="00E6476A"/>
    <w:pPr>
      <w:numPr>
        <w:ilvl w:val="2"/>
        <w:numId w:val="1"/>
      </w:numPr>
      <w:spacing w:before="200" w:line="264" w:lineRule="auto"/>
      <w:outlineLvl w:val="2"/>
    </w:pPr>
    <w:rPr>
      <w:lang w:eastAsia="en-IE"/>
    </w:rPr>
  </w:style>
  <w:style w:type="paragraph" w:styleId="Heading4">
    <w:name w:val="heading 4"/>
    <w:aliases w:val="QA-Heading 4"/>
    <w:basedOn w:val="Normal"/>
    <w:link w:val="Heading4Char"/>
    <w:uiPriority w:val="9"/>
    <w:semiHidden/>
    <w:unhideWhenUsed/>
    <w:qFormat/>
    <w:rsid w:val="00E6476A"/>
    <w:pPr>
      <w:numPr>
        <w:ilvl w:val="3"/>
        <w:numId w:val="1"/>
      </w:numPr>
      <w:spacing w:before="200" w:line="276" w:lineRule="auto"/>
      <w:outlineLvl w:val="3"/>
    </w:pPr>
    <w:rPr>
      <w:rFonts w:ascii="Calibri Light" w:hAnsi="Calibri Light" w:cs="Calibri Light"/>
      <w:i/>
      <w:iCs/>
      <w:lang w:eastAsia="en-IE"/>
    </w:rPr>
  </w:style>
  <w:style w:type="paragraph" w:styleId="Heading5">
    <w:name w:val="heading 5"/>
    <w:aliases w:val="QA-Heading 5"/>
    <w:basedOn w:val="Normal"/>
    <w:link w:val="Heading5Char"/>
    <w:uiPriority w:val="9"/>
    <w:semiHidden/>
    <w:unhideWhenUsed/>
    <w:qFormat/>
    <w:rsid w:val="00E6476A"/>
    <w:pPr>
      <w:numPr>
        <w:ilvl w:val="4"/>
        <w:numId w:val="1"/>
      </w:numPr>
      <w:spacing w:before="200" w:line="276" w:lineRule="auto"/>
      <w:outlineLvl w:val="4"/>
    </w:pPr>
    <w:rPr>
      <w:rFonts w:ascii="Calibri Light" w:hAnsi="Calibri Light" w:cs="Calibri Light"/>
      <w:lang w:eastAsia="en-IE"/>
    </w:rPr>
  </w:style>
  <w:style w:type="paragraph" w:styleId="Heading6">
    <w:name w:val="heading 6"/>
    <w:basedOn w:val="Normal"/>
    <w:link w:val="Heading6Char"/>
    <w:uiPriority w:val="9"/>
    <w:semiHidden/>
    <w:unhideWhenUsed/>
    <w:qFormat/>
    <w:rsid w:val="00E6476A"/>
    <w:pPr>
      <w:numPr>
        <w:ilvl w:val="5"/>
        <w:numId w:val="1"/>
      </w:numPr>
      <w:spacing w:line="264" w:lineRule="auto"/>
      <w:outlineLvl w:val="5"/>
    </w:pPr>
    <w:rPr>
      <w:rFonts w:ascii="Calibri Light" w:hAnsi="Calibri Light" w:cs="Calibri Light"/>
      <w:b/>
      <w:bCs/>
      <w:i/>
      <w:iCs/>
      <w:color w:val="7F7F7F"/>
      <w:lang w:eastAsia="en-IE"/>
    </w:rPr>
  </w:style>
  <w:style w:type="paragraph" w:styleId="Heading7">
    <w:name w:val="heading 7"/>
    <w:basedOn w:val="Normal"/>
    <w:link w:val="Heading7Char"/>
    <w:uiPriority w:val="9"/>
    <w:semiHidden/>
    <w:unhideWhenUsed/>
    <w:qFormat/>
    <w:rsid w:val="00E6476A"/>
    <w:pPr>
      <w:numPr>
        <w:ilvl w:val="6"/>
        <w:numId w:val="1"/>
      </w:numPr>
      <w:spacing w:line="276" w:lineRule="auto"/>
      <w:outlineLvl w:val="6"/>
    </w:pPr>
    <w:rPr>
      <w:rFonts w:ascii="Calibri Light" w:hAnsi="Calibri Light" w:cs="Calibri Light"/>
      <w:i/>
      <w:iCs/>
      <w:lang w:eastAsia="en-IE"/>
    </w:rPr>
  </w:style>
  <w:style w:type="paragraph" w:styleId="Heading8">
    <w:name w:val="heading 8"/>
    <w:basedOn w:val="Normal"/>
    <w:link w:val="Heading8Char"/>
    <w:uiPriority w:val="9"/>
    <w:semiHidden/>
    <w:unhideWhenUsed/>
    <w:qFormat/>
    <w:rsid w:val="00E6476A"/>
    <w:pPr>
      <w:numPr>
        <w:ilvl w:val="7"/>
        <w:numId w:val="1"/>
      </w:numPr>
      <w:spacing w:line="276" w:lineRule="auto"/>
      <w:outlineLvl w:val="7"/>
    </w:pPr>
    <w:rPr>
      <w:rFonts w:ascii="Calibri Light" w:hAnsi="Calibri Light" w:cs="Calibri Light"/>
      <w:sz w:val="20"/>
      <w:szCs w:val="20"/>
      <w:lang w:eastAsia="en-IE"/>
    </w:rPr>
  </w:style>
  <w:style w:type="paragraph" w:styleId="Heading9">
    <w:name w:val="heading 9"/>
    <w:basedOn w:val="Normal"/>
    <w:link w:val="Heading9Char"/>
    <w:uiPriority w:val="9"/>
    <w:semiHidden/>
    <w:unhideWhenUsed/>
    <w:qFormat/>
    <w:rsid w:val="00E6476A"/>
    <w:pPr>
      <w:numPr>
        <w:ilvl w:val="8"/>
        <w:numId w:val="1"/>
      </w:numPr>
      <w:spacing w:line="276" w:lineRule="auto"/>
      <w:outlineLvl w:val="8"/>
    </w:pPr>
    <w:rPr>
      <w:rFonts w:ascii="Calibri Light" w:hAnsi="Calibri Light" w:cs="Calibri Light"/>
      <w:i/>
      <w:iCs/>
      <w:spacing w:val="5"/>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76A"/>
    <w:rPr>
      <w:rFonts w:ascii="Calibri Light" w:hAnsi="Calibri Light" w:cs="Calibri Light"/>
      <w:b/>
      <w:bCs/>
      <w:kern w:val="36"/>
      <w:lang w:eastAsia="en-IE"/>
    </w:rPr>
  </w:style>
  <w:style w:type="character" w:customStyle="1" w:styleId="Heading2Char">
    <w:name w:val="Heading 2 Char"/>
    <w:aliases w:val="QA-Heading 2 Char"/>
    <w:basedOn w:val="DefaultParagraphFont"/>
    <w:link w:val="Heading2"/>
    <w:uiPriority w:val="9"/>
    <w:semiHidden/>
    <w:rsid w:val="00E6476A"/>
    <w:rPr>
      <w:rFonts w:ascii="Calibri" w:hAnsi="Calibri" w:cs="Calibri"/>
      <w:lang w:eastAsia="en-IE"/>
    </w:rPr>
  </w:style>
  <w:style w:type="character" w:customStyle="1" w:styleId="Heading3Char">
    <w:name w:val="Heading 3 Char"/>
    <w:aliases w:val="QA-Heading 3 Char"/>
    <w:basedOn w:val="DefaultParagraphFont"/>
    <w:link w:val="Heading3"/>
    <w:uiPriority w:val="9"/>
    <w:semiHidden/>
    <w:rsid w:val="00E6476A"/>
    <w:rPr>
      <w:rFonts w:ascii="Calibri" w:hAnsi="Calibri" w:cs="Calibri"/>
      <w:lang w:eastAsia="en-IE"/>
    </w:rPr>
  </w:style>
  <w:style w:type="character" w:customStyle="1" w:styleId="Heading4Char">
    <w:name w:val="Heading 4 Char"/>
    <w:aliases w:val="QA-Heading 4 Char"/>
    <w:basedOn w:val="DefaultParagraphFont"/>
    <w:link w:val="Heading4"/>
    <w:uiPriority w:val="9"/>
    <w:semiHidden/>
    <w:rsid w:val="00E6476A"/>
    <w:rPr>
      <w:rFonts w:ascii="Calibri Light" w:hAnsi="Calibri Light" w:cs="Calibri Light"/>
      <w:i/>
      <w:iCs/>
      <w:lang w:eastAsia="en-IE"/>
    </w:rPr>
  </w:style>
  <w:style w:type="character" w:customStyle="1" w:styleId="Heading5Char">
    <w:name w:val="Heading 5 Char"/>
    <w:aliases w:val="QA-Heading 5 Char"/>
    <w:basedOn w:val="DefaultParagraphFont"/>
    <w:link w:val="Heading5"/>
    <w:uiPriority w:val="9"/>
    <w:semiHidden/>
    <w:rsid w:val="00E6476A"/>
    <w:rPr>
      <w:rFonts w:ascii="Calibri Light" w:hAnsi="Calibri Light" w:cs="Calibri Light"/>
      <w:lang w:eastAsia="en-IE"/>
    </w:rPr>
  </w:style>
  <w:style w:type="character" w:customStyle="1" w:styleId="Heading6Char">
    <w:name w:val="Heading 6 Char"/>
    <w:basedOn w:val="DefaultParagraphFont"/>
    <w:link w:val="Heading6"/>
    <w:uiPriority w:val="9"/>
    <w:semiHidden/>
    <w:rsid w:val="00E6476A"/>
    <w:rPr>
      <w:rFonts w:ascii="Calibri Light" w:hAnsi="Calibri Light" w:cs="Calibri Light"/>
      <w:b/>
      <w:bCs/>
      <w:i/>
      <w:iCs/>
      <w:color w:val="7F7F7F"/>
      <w:lang w:eastAsia="en-IE"/>
    </w:rPr>
  </w:style>
  <w:style w:type="character" w:customStyle="1" w:styleId="Heading7Char">
    <w:name w:val="Heading 7 Char"/>
    <w:basedOn w:val="DefaultParagraphFont"/>
    <w:link w:val="Heading7"/>
    <w:uiPriority w:val="9"/>
    <w:semiHidden/>
    <w:rsid w:val="00E6476A"/>
    <w:rPr>
      <w:rFonts w:ascii="Calibri Light" w:hAnsi="Calibri Light" w:cs="Calibri Light"/>
      <w:i/>
      <w:iCs/>
      <w:lang w:eastAsia="en-IE"/>
    </w:rPr>
  </w:style>
  <w:style w:type="character" w:customStyle="1" w:styleId="Heading8Char">
    <w:name w:val="Heading 8 Char"/>
    <w:basedOn w:val="DefaultParagraphFont"/>
    <w:link w:val="Heading8"/>
    <w:uiPriority w:val="9"/>
    <w:semiHidden/>
    <w:rsid w:val="00E6476A"/>
    <w:rPr>
      <w:rFonts w:ascii="Calibri Light" w:hAnsi="Calibri Light" w:cs="Calibri Light"/>
      <w:sz w:val="20"/>
      <w:szCs w:val="20"/>
      <w:lang w:eastAsia="en-IE"/>
    </w:rPr>
  </w:style>
  <w:style w:type="character" w:customStyle="1" w:styleId="Heading9Char">
    <w:name w:val="Heading 9 Char"/>
    <w:basedOn w:val="DefaultParagraphFont"/>
    <w:link w:val="Heading9"/>
    <w:uiPriority w:val="9"/>
    <w:semiHidden/>
    <w:rsid w:val="00E6476A"/>
    <w:rPr>
      <w:rFonts w:ascii="Calibri Light" w:hAnsi="Calibri Light" w:cs="Calibri Light"/>
      <w:i/>
      <w:iCs/>
      <w:spacing w:val="5"/>
      <w:sz w:val="20"/>
      <w:szCs w:val="20"/>
      <w:lang w:eastAsia="en-IE"/>
    </w:rPr>
  </w:style>
  <w:style w:type="paragraph" w:styleId="BodyText">
    <w:name w:val="Body Text"/>
    <w:basedOn w:val="Normal"/>
    <w:link w:val="BodyTextChar"/>
    <w:uiPriority w:val="1"/>
    <w:semiHidden/>
    <w:unhideWhenUsed/>
    <w:rsid w:val="00E6476A"/>
    <w:pPr>
      <w:autoSpaceDE w:val="0"/>
      <w:autoSpaceDN w:val="0"/>
    </w:pPr>
  </w:style>
  <w:style w:type="character" w:customStyle="1" w:styleId="BodyTextChar">
    <w:name w:val="Body Text Char"/>
    <w:basedOn w:val="DefaultParagraphFont"/>
    <w:link w:val="BodyText"/>
    <w:uiPriority w:val="1"/>
    <w:semiHidden/>
    <w:rsid w:val="00E6476A"/>
    <w:rPr>
      <w:rFonts w:ascii="Calibri" w:hAnsi="Calibri" w:cs="Calibri"/>
    </w:rPr>
  </w:style>
  <w:style w:type="paragraph" w:styleId="ListParagraph">
    <w:name w:val="List Paragraph"/>
    <w:basedOn w:val="Normal"/>
    <w:uiPriority w:val="34"/>
    <w:qFormat/>
    <w:rsid w:val="00E6476A"/>
    <w:pPr>
      <w:ind w:left="720"/>
    </w:pPr>
  </w:style>
  <w:style w:type="character" w:customStyle="1" w:styleId="QANormalChar">
    <w:name w:val="QA_Normal Char"/>
    <w:basedOn w:val="DefaultParagraphFont"/>
    <w:link w:val="QANormal"/>
    <w:locked/>
    <w:rsid w:val="00E6476A"/>
    <w:rPr>
      <w:rFonts w:ascii="Calibri" w:hAnsi="Calibri" w:cs="Calibri"/>
    </w:rPr>
  </w:style>
  <w:style w:type="paragraph" w:customStyle="1" w:styleId="QANormal">
    <w:name w:val="QA_Normal"/>
    <w:basedOn w:val="Normal"/>
    <w:link w:val="QANormalChar"/>
    <w:rsid w:val="00E6476A"/>
    <w:pPr>
      <w:spacing w:line="276"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6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O'Neill</dc:creator>
  <cp:keywords/>
  <dc:description/>
  <cp:lastModifiedBy>Sean O'Neill</cp:lastModifiedBy>
  <cp:revision>2</cp:revision>
  <dcterms:created xsi:type="dcterms:W3CDTF">2023-05-25T11:05:00Z</dcterms:created>
  <dcterms:modified xsi:type="dcterms:W3CDTF">2023-05-25T11:05:00Z</dcterms:modified>
</cp:coreProperties>
</file>